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left"/>
      </w:pPr>
      <w:r>
        <w:rPr>
          <w:b/>
          <w:color w:val="056DFE"/>
          <w:sz w:val="18"/>
        </w:rPr>
        <w:t xml:space="preserve">Prevención de Lavado de Dinero · Cap. XIV, arts. 42 a 51</w:t>
      </w:r>
    </w:p>
    <w:p>
      <w:pPr>
        <w:pStyle w:val="Title"/>
        <w:keepNext/>
      </w:pPr>
      <w:r>
        <w:t xml:space="preserve">Programa de Auditoría Interna y Cuestionario de Autoevaluación</w:t>
      </w:r>
    </w:p>
    <w:p>
      <w:pPr>
        <w:jc w:val="left"/>
      </w:pPr>
      <w:r>
        <w:t xml:space="preserve">Guía y examen de autoevaluación para preparar el dictamen anual sobre la efectividad del cumplimiento que exigen las Reglas de Carácter General de la LFPIORPI, reformadas por el </w:t>
      </w:r>
      <w:r>
        <w:rPr>
          <w:b/>
        </w:rPr>
        <w:t xml:space="preserve">Acuerdo 115/2026</w:t>
      </w:r>
      <w:r>
        <w:t xml:space="preserve"> (DOF 7 de agosto de 2026).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Sujeto obligado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 del Notario / Notaría Pública No. __ del Estado de ______]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Ejercicio auditado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[1 de enero al 31 de diciembre de 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Riesgo propio de la Notaría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Bajo ☐ Medio ☐ Alto ☐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aplicación del cuestionario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</w:tr>
    </w:tbl>
    <w:p/>
    <w:p>
      <w:pPr>
        <w:shd w:val="clear" w:color="auto" w:fill="FFFBEB"/>
        <w:pBdr>
          <w:left w:val="single" w:sz="18" w:space="8" w:color="D97706"/>
        </w:pBdr>
        <w:ind w:left="180"/>
        <w:jc w:val="both"/>
      </w:pPr>
      <w:r>
        <w:rPr>
          <w:b/>
          <w:color w:val="78350F"/>
        </w:rPr>
        <w:t xml:space="preserve">Aviso sobre el uso de esta plantilla.</w:t>
      </w:r>
      <w:r>
        <w:rPr>
          <w:color w:val="78350F"/>
        </w:rPr>
        <w:t xml:space="preserve"> Modelo de referencia elaborado por Nuvigant. No sustituye el dictamen que debe emitir el área de auditoría o control interno independiente, o el auditor externo certificado por la UIF cuando corresponda conforme al artículo 45. No constituye asesoría jurídica.</w:t>
      </w:r>
    </w:p>
    <w:p>
      <w:pPr>
        <w:pStyle w:val="Heading1"/>
        <w:keepNext/>
      </w:pPr>
      <w:r>
        <w:t xml:space="preserve">1. Quién dictamina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506"/>
        <w:gridCol w:w="7132"/>
      </w:tblGrid>
      <w:tr>
        <w:trPr>
          <w:cantSplit/>
          <w:tblHeader/>
        </w:trPr>
        <w:tc>
          <w:tcPr>
            <w:tcW w:w="25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Riesgo propio</w:t>
            </w:r>
          </w:p>
        </w:tc>
        <w:tc>
          <w:tcPr>
            <w:tcW w:w="713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Auditor</w:t>
            </w:r>
          </w:p>
        </w:tc>
      </w:tr>
      <w:tr>
        <w:trPr>
          <w:cantSplit/>
        </w:trPr>
        <w:tc>
          <w:tcPr>
            <w:tcW w:w="25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Bajo o medio</w:t>
            </w:r>
            <w:r>
              <w:br/>
            </w:r>
            <w:r>
              <w:rPr>
                <w:i/>
                <w:color w:val="64748B"/>
                <w:sz w:val="19"/>
              </w:rPr>
              <w:t xml:space="preserve">art. 44</w:t>
            </w:r>
          </w:p>
        </w:tc>
        <w:tc>
          <w:tcPr>
            <w:tcW w:w="713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Puede dictaminar el área de auditoría o control interno, con personal independiente del Representante Encargado de Cumplimiento y con al menos una acreditación del programa anual de capacitación.</w:t>
            </w:r>
          </w:p>
        </w:tc>
      </w:tr>
      <w:tr>
        <w:trPr>
          <w:cantSplit/>
        </w:trPr>
        <w:tc>
          <w:tcPr>
            <w:tcW w:w="25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Alto</w:t>
            </w:r>
            <w:r>
              <w:rPr>
                <w:sz w:val="19"/>
              </w:rPr>
              <w:t xml:space="preserve">, o por elección</w:t>
            </w:r>
            <w:r>
              <w:br/>
            </w:r>
            <w:r>
              <w:rPr>
                <w:i/>
                <w:color w:val="64748B"/>
                <w:sz w:val="19"/>
              </w:rPr>
              <w:t xml:space="preserve">art. 45</w:t>
            </w:r>
          </w:p>
        </w:tc>
        <w:tc>
          <w:tcPr>
            <w:tcW w:w="713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Auditor externo independiente con título y cédula profesional, tres años de experiencia en prevención de lavado de dinero y </w:t>
            </w:r>
            <w:r>
              <w:rPr>
                <w:b/>
                <w:sz w:val="19"/>
              </w:rPr>
              <w:t xml:space="preserve">certificación vigente de la UIF</w:t>
            </w:r>
            <w:r>
              <w:rPr>
                <w:sz w:val="19"/>
              </w:rPr>
              <w:t xml:space="preserve">; sin conflicto de interés y sin haber sido Representante Encargado de Cumplimiento del auditado en el periodo auditado ni en los dos años siguientes.</w:t>
            </w:r>
          </w:p>
        </w:tc>
      </w:tr>
    </w:tbl>
    <w:p/>
    <w:p>
      <w:pPr>
        <w:pStyle w:val="Heading1"/>
        <w:keepNext/>
      </w:pPr>
      <w:r>
        <w:t xml:space="preserve">2. Calendario y entrega</w:t>
      </w:r>
    </w:p>
    <w:p>
      <w:pPr>
        <w:numPr>
          <w:ilvl w:val="0"/>
          <w:numId w:val="1"/>
        </w:numPr>
        <w:spacing w:after="60"/>
        <w:jc w:val="both"/>
      </w:pPr>
      <w:r>
        <w:t xml:space="preserve">Periodo auditado: </w:t>
      </w:r>
      <w:r>
        <w:rPr>
          <w:b/>
        </w:rPr>
        <w:t xml:space="preserve">1 de enero a 31 de diciembre</w:t>
      </w:r>
      <w:r>
        <w:t xml:space="preserve">.</w:t>
      </w:r>
    </w:p>
    <w:p>
      <w:pPr>
        <w:numPr>
          <w:ilvl w:val="0"/>
          <w:numId w:val="1"/>
        </w:numPr>
        <w:spacing w:after="60"/>
        <w:jc w:val="both"/>
      </w:pPr>
      <w:r>
        <w:t xml:space="preserve">Emisión del dictamen dentro de los </w:t>
      </w:r>
      <w:r>
        <w:rPr>
          <w:b/>
        </w:rPr>
        <w:t xml:space="preserve">primeros tres meses</w:t>
      </w:r>
      <w:r>
        <w:t xml:space="preserve"> siguientes al cierre del año auditado.</w:t>
      </w:r>
    </w:p>
    <w:p>
      <w:pPr>
        <w:numPr>
          <w:ilvl w:val="0"/>
          <w:numId w:val="1"/>
        </w:numPr>
        <w:spacing w:after="60"/>
        <w:jc w:val="both"/>
      </w:pPr>
      <w:r>
        <w:t xml:space="preserve">Entrega al auditado a más tardar el </w:t>
      </w:r>
      <w:r>
        <w:rPr>
          <w:b/>
        </w:rPr>
        <w:t xml:space="preserve">último día hábil de marzo</w:t>
      </w:r>
      <w:r>
        <w:t xml:space="preserve">.</w:t>
      </w:r>
    </w:p>
    <w:p>
      <w:pPr>
        <w:numPr>
          <w:ilvl w:val="0"/>
          <w:numId w:val="1"/>
        </w:numPr>
        <w:spacing w:after="60"/>
        <w:jc w:val="both"/>
      </w:pPr>
      <w:r>
        <w:t xml:space="preserve">Conservación del dictamen y su soporte: </w:t>
      </w:r>
      <w:r>
        <w:rPr>
          <w:b/>
        </w:rPr>
        <w:t xml:space="preserve">no menos de 5 años</w:t>
      </w:r>
      <w:r>
        <w:t xml:space="preserve">.</w:t>
      </w:r>
    </w:p>
    <w:p>
      <w:pPr>
        <w:shd w:val="clear" w:color="auto" w:fill="F1F5F9"/>
        <w:pBdr>
          <w:left w:val="single" w:sz="18" w:space="8" w:color="056DFE"/>
        </w:pBdr>
        <w:ind w:left="180"/>
        <w:jc w:val="both"/>
      </w:pPr>
      <w:r>
        <w:rPr>
          <w:b/>
        </w:rPr>
        <w:t xml:space="preserve">Primer periodo auditable: 2028</w:t>
      </w:r>
      <w:r>
        <w:t xml:space="preserve">, con dictamen a más tardar el último día hábil de marzo de 2029 (Transitorio Octavo).</w:t>
      </w:r>
    </w:p>
    <w:p>
      <w:pPr>
        <w:pStyle w:val="Heading1"/>
        <w:keepNext/>
      </w:pPr>
      <w:r>
        <w:t xml:space="preserve">3. Cuestionario de autoevaluación (examen previo a la auditoría)</w:t>
      </w:r>
    </w:p>
    <w:p>
      <w:pPr>
        <w:jc w:val="both"/>
      </w:pPr>
      <w:r>
        <w:t xml:space="preserve">Responde cada reactivo con </w:t>
      </w:r>
      <w:r>
        <w:rPr>
          <w:b/>
        </w:rPr>
        <w:t xml:space="preserve">Sí (2 puntos)</w:t>
      </w:r>
      <w:r>
        <w:t xml:space="preserve">, </w:t>
      </w:r>
      <w:r>
        <w:rPr>
          <w:b/>
        </w:rPr>
        <w:t xml:space="preserve">Parcial (1 punto)</w:t>
      </w:r>
      <w:r>
        <w:t xml:space="preserve"> o </w:t>
      </w:r>
      <w:r>
        <w:rPr>
          <w:b/>
        </w:rPr>
        <w:t xml:space="preserve">No (0 puntos)</w:t>
      </w:r>
      <w:r>
        <w:t xml:space="preserve">, y anota la evidencia disponible. Este examen no sustituye el dictamen formal, pero identifica con anticipación los hallazgos que el auditor probablemente señalará.</w:t>
      </w:r>
    </w:p>
    <w:p>
      <w:pPr>
        <w:pStyle w:val="Heading2"/>
        <w:keepNext/>
      </w:pPr>
      <w:r>
        <w:t xml:space="preserve">Bloque A — Identificación y expedientes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1157"/>
        <w:gridCol w:w="3662"/>
      </w:tblGrid>
      <w:tr>
        <w:trPr>
          <w:cantSplit/>
          <w:tblHeader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Reactivo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Sí/Parcial/No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Evidencia disponible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1. ¿Existe expediente único por cada Cliente, con el Anexo correcto según su tipo?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2. ¿Los documentos están cotejados contra original o copia certificada?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3. ¿Se identificó y documentó al Beneficiario Controlador de cada Cliente persona moral o fideicomiso?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2"/>
        <w:keepNext/>
      </w:pPr>
      <w:r>
        <w:t xml:space="preserve">Bloque B — Riesgo y conocimiento del Cliente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1157"/>
        <w:gridCol w:w="3662"/>
      </w:tblGrid>
      <w:tr>
        <w:trPr>
          <w:cantSplit/>
          <w:tblHeader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Reactivo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Sí/Parcial/No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Evidencia disponible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4. ¿La metodología de riesgos está documentada y usa al menos 12 meses de datos?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5. ¿Todos los Clientes tienen un grado de riesgo asignado, reevaluado cada 6 meses o menos?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6. ¿Se consultó Consulta PEP 2.0 y las listas del art. 38 antes de cada acto?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7. ¿Existe perfil transaccional por Cliente, evaluado al menos cada 6 meses?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2"/>
        <w:keepNext/>
      </w:pPr>
      <w:r>
        <w:t xml:space="preserve">Bloque C — Avisos y umbrales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1157"/>
        <w:gridCol w:w="3662"/>
      </w:tblGrid>
      <w:tr>
        <w:trPr>
          <w:cantSplit/>
          <w:tblHeader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Reactivo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Sí/Parcial/No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Evidencia disponible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8. ¿Los Avisos ordinarios se presentan a más tardar el día 17 del mes siguiente?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9. ¿Existe un procedimiento documentado para el Aviso por sospecha o por hechos e indicios en 24 horas?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10. ¿Se presenta el Informe de "sin operaciones" cuando corresponde?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2"/>
        <w:keepNext/>
      </w:pPr>
      <w:r>
        <w:t xml:space="preserve">Bloque D — Mecanismos automatizados, capacitación y personal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1157"/>
        <w:gridCol w:w="3662"/>
      </w:tblGrid>
      <w:tr>
        <w:trPr>
          <w:cantSplit/>
          <w:tblHeader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Reactivo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Sí/Parcial/No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Evidencia disponible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11. ¿El mecanismo automatizado conserva el histórico de riesgo y perfil transaccional por 10 años?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12. ¿Se impartió la capacitación anual, con evaluación y constancias conservadas?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13. ¿El personal nuevo firmó la declaración de honorabilidad antes de su ingreso?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2"/>
        <w:keepNext/>
      </w:pPr>
      <w:r>
        <w:t xml:space="preserve">Bloque E — Notificaciones y confidencialidad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1157"/>
        <w:gridCol w:w="3662"/>
      </w:tblGrid>
      <w:tr>
        <w:trPr>
          <w:cantSplit/>
          <w:tblHeader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Reactivo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Sí/Parcial/No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Evidencia disponible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14. ¿Se consulta el Portal al menos una vez cada día hábil?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15. ¿Existe convenio de confidencialidad firmado por todo el personal?</w:t>
            </w:r>
          </w:p>
        </w:tc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366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1"/>
        <w:keepNext/>
      </w:pPr>
      <w:r>
        <w:t xml:space="preserve">4. Resultado e interpretación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Puntaje total (máx. 30)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Interpretación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numPr>
          <w:ilvl w:val="0"/>
          <w:numId w:val="2"/>
        </w:numPr>
        <w:spacing w:after="60"/>
        <w:jc w:val="both"/>
      </w:pPr>
      <w:r>
        <w:rPr>
          <w:b/>
        </w:rPr>
        <w:t xml:space="preserve">26–30 puntos:</w:t>
      </w:r>
      <w:r>
        <w:t xml:space="preserve"> cumplimiento alto; hallazgos menores.</w:t>
      </w:r>
    </w:p>
    <w:p>
      <w:pPr>
        <w:numPr>
          <w:ilvl w:val="0"/>
          <w:numId w:val="2"/>
        </w:numPr>
        <w:spacing w:after="60"/>
        <w:jc w:val="both"/>
      </w:pPr>
      <w:r>
        <w:rPr>
          <w:b/>
        </w:rPr>
        <w:t xml:space="preserve">16–25 puntos:</w:t>
      </w:r>
      <w:r>
        <w:t xml:space="preserve"> cumplimiento medio; plan de acción con fechas compromiso.</w:t>
      </w:r>
    </w:p>
    <w:p>
      <w:pPr>
        <w:numPr>
          <w:ilvl w:val="0"/>
          <w:numId w:val="2"/>
        </w:numPr>
        <w:spacing w:after="60"/>
        <w:jc w:val="both"/>
      </w:pPr>
      <w:r>
        <w:rPr>
          <w:b/>
        </w:rPr>
        <w:t xml:space="preserve">0–15 puntos:</w:t>
      </w:r>
      <w:r>
        <w:t xml:space="preserve"> cumplimiento bajo; atención prioritaria antes de la auditoría formal.</w:t>
      </w:r>
    </w:p>
    <w:p>
      <w:pPr>
        <w:pStyle w:val="Heading1"/>
        <w:keepNext/>
      </w:pPr>
      <w:r>
        <w:t xml:space="preserve">5. Hallazgos y plan de acción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cantSplit/>
          <w:tblHeader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Obligación evaluada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Resultado (1 a 5)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Hallazgo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Acción correctiva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Responsable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compromiso</w:t>
            </w:r>
          </w:p>
        </w:tc>
      </w:tr>
      <w:tr>
        <w:trPr>
          <w:cantSplit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/>
    <w:p>
      <w:pPr>
        <w:pBdr>
          <w:top w:val="single" w:sz="6" w:space="4" w:color="0F172A"/>
        </w:pBdr>
        <w:spacing w:before="360"/>
      </w:pPr>
      <w:r>
        <w:t xml:space="preserve">Aplicó el cuestionario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top w:val="single" w:sz="6" w:space="4" w:color="0F172A"/>
        </w:pBdr>
        <w:spacing w:before="360"/>
      </w:pPr>
      <w:r>
        <w:t xml:space="preserve">Representante Encargado de Cumplimiento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bottom w:val="single" w:sz="6" w:space="1" w:color="CBD5E1"/>
        </w:pBdr>
      </w:pPr>
    </w:p>
    <w:p>
      <w:pPr>
        <w:jc w:val="both"/>
      </w:pPr>
      <w:r>
        <w:rPr>
          <w:color w:val="64748B"/>
          <w:sz w:val="18"/>
        </w:rPr>
        <w:t xml:space="preserve">Plantilla elaborada por </w:t>
      </w:r>
      <w:r>
        <w:rPr>
          <w:b/>
          <w:color w:val="64748B"/>
          <w:sz w:val="18"/>
        </w:rPr>
        <w:t xml:space="preserve">Nuvigant</w:t>
      </w:r>
      <w:r>
        <w:rPr>
          <w:color w:val="64748B"/>
          <w:sz w:val="18"/>
        </w:rPr>
        <w:t xml:space="preserve"> con base en el Acuerdo 115/2026 publicado en el Diario Oficial de la Federación el 7 de agosto de 2026 (</w:t>
      </w:r>
      <w:hyperlink r:id="rIdLink0">
        <w:r>
          <w:rPr>
            <w:color w:val="056DFE"/>
            <w:u w:val="single"/>
            <w:sz w:val="18"/>
          </w:rPr>
          <w:t xml:space="preserve">dof.gob.mx</w:t>
        </w:r>
      </w:hyperlink>
      <w:r>
        <w:rPr>
          <w:color w:val="64748B"/>
          <w:sz w:val="18"/>
        </w:rPr>
        <w:t xml:space="preserve">). Documento de uso libre para fines de autoevaluación interna; no sustituye el dictamen de auditoría formal ni constituye asesoría jurídica. </w:t>
      </w:r>
      <w:hyperlink r:id="rIdLink1">
        <w:r>
          <w:rPr>
            <w:color w:val="056DFE"/>
            <w:u w:val="single"/>
            <w:sz w:val="18"/>
          </w:rPr>
          <w:t xml:space="preserve">nuvigant.com</w:t>
        </w:r>
      </w:hyperlink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454" w:hanging="284"/>
      </w:pPr>
      <w:rPr>
        <w:rFonts w:ascii="Segoe UI Symbol" w:hAnsi="Segoe UI Symbol" w:hint="default"/>
      </w:r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  <w:lang w:val="es-MX"/>
      </w:rPr>
    </w:rPrDefault>
    <w:pPrDefault>
      <w:pPr>
        <w:spacing w:after="140" w:line="288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spacing w:before="0" w:after="140"/>
      <w:outlineLvl w:val="0"/>
      <w:jc w:val="left"/>
    </w:pPr>
    <w:rPr>
      <w:rFonts w:ascii="Segoe UI" w:hAnsi="Segoe UI"/>
      <w:b/>
      <w:color w:val="0F172A"/>
      <w:sz w:val="48"/>
    </w:rPr>
  </w:style>
  <w:style w:type="paragraph" w:styleId="Heading1">
    <w:name w:val="heading 1"/>
    <w:basedOn w:val="Normal"/>
    <w:next w:val="Normal"/>
    <w:qFormat/>
    <w:pPr>
      <w:keepNext/>
      <w:spacing w:before="0" w:after="140"/>
      <w:outlineLvl w:val="0"/>
      <w:pBdr>
        <w:bottom w:val="single" w:sz="12" w:space="4" w:color="056DFE"/>
      </w:pBdr>
      <w:jc w:val="left"/>
    </w:pPr>
    <w:rPr>
      <w:rFonts w:ascii="Segoe UI" w:hAnsi="Segoe UI"/>
      <w:b/>
      <w:color w:val="0B3D91"/>
      <w:sz w:val="30"/>
    </w:rPr>
  </w:style>
  <w:style w:type="paragraph" w:styleId="Heading2">
    <w:name w:val="heading 2"/>
    <w:basedOn w:val="Normal"/>
    <w:next w:val="Normal"/>
    <w:qFormat/>
    <w:pPr>
      <w:keepNext/>
      <w:spacing w:before="320" w:after="140"/>
      <w:outlineLvl w:val="1"/>
      <w:jc w:val="left"/>
    </w:pPr>
    <w:rPr>
      <w:rFonts w:ascii="Segoe UI" w:hAnsi="Segoe UI"/>
      <w:b/>
      <w:color w:val="0F172A"/>
      <w:sz w:val="25"/>
    </w:rPr>
  </w:style>
  <w:style w:type="paragraph" w:styleId="Heading3">
    <w:name w:val="heading 3"/>
    <w:basedOn w:val="Normal"/>
    <w:next w:val="Normal"/>
    <w:qFormat/>
    <w:pPr>
      <w:keepNext/>
      <w:spacing w:before="320" w:after="140"/>
      <w:outlineLvl w:val="2"/>
      <w:jc w:val="left"/>
    </w:pPr>
    <w:rPr>
      <w:rFonts w:ascii="Segoe UI" w:hAnsi="Segoe UI"/>
      <w:b/>
      <w:color w:val="0F172A"/>
      <w:sz w:val="22"/>
    </w:rPr>
  </w:style>
</w:styles>
</file>

<file path=word/_rels/document.xml.rels><?xml version="1.0" encoding="UTF-8" standalone="yes"?>
<Relationships xmlns="http://schemas.openxmlformats.org/package/2006/relationships">
<Relationship Id="rIdStyles" Type="http://schemas.openxmlformats.org/officeDocument/2006/relationships/styles" Target="styles.xml"/>
<Relationship Id="rIdNumbering" Type="http://schemas.openxmlformats.org/officeDocument/2006/relationships/numbering" Target="numbering.xml"/>
<Relationship Id="rIdLink0" Type="http://schemas.openxmlformats.org/officeDocument/2006/relationships/hyperlink" Target="https://dof.gob.mx/nota_detalle.php?codigo=5795797&amp;amp;fecha=07/08/2026" TargetMode="External"/>
<Relationship Id="rIdLink1" Type="http://schemas.openxmlformats.org/officeDocument/2006/relationships/hyperlink" Target="https://nuvigant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Nuvigant</Application>
  <Company>Nuvigant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Programa de Auditoría Interna y Cuestionario de Autoevaluación — LFPIORPI 2026</dc:title>
  <dc:creator>Nuvigant</dc:creator>
  <cp:lastModifiedBy>Nuvigant</cp:lastModifiedBy>
  <dc:description>Guía de auditoría interna y examen de autoevaluación previo al dictamen anual del Cap. XIV de las Reglas de Carácter General de la LFPIORPI (Acuerdo 115/2026, DOF 07/08/2026).</dc:description>
  <cp:revision>1</cp:revision>
</cp:coreProperties>
</file>