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jc w:val="left"/>
      </w:pPr>
      <w:r>
        <w:rPr>
          <w:b/>
          <w:color w:val="056DFE"/>
          <w:sz w:val="18"/>
        </w:rPr>
        <w:t xml:space="preserve">Prevención de Lavado de Dinero · Cap. III Bis, arts. 23 Bis a 23 Bis 4</w:t>
      </w:r>
    </w:p>
    <w:p>
      <w:pPr>
        <w:pStyle w:val="Title"/>
        <w:keepNext/>
      </w:pPr>
      <w:r>
        <w:t xml:space="preserve">Ficha y Matriz de Clasificación de Clientes por Grado de Riesgo</w:t>
      </w:r>
    </w:p>
    <w:p>
      <w:pPr>
        <w:jc w:val="left"/>
      </w:pPr>
      <w:r>
        <w:t xml:space="preserve">Formato para clasificar a cada Cliente en al menos tres grados de riesgo —bajo, medio y alto— conforme a las Reglas de Carácter General de la LFPIORPI, reformadas por el </w:t>
      </w:r>
      <w:r>
        <w:rPr>
          <w:b/>
        </w:rPr>
        <w:t xml:space="preserve">Acuerdo 115/2026</w:t>
      </w:r>
      <w:r>
        <w:t xml:space="preserve"> (DOF 7 de agosto de 2026), y para documentar la diligencia correspondiente en el expediente único.</w:t>
      </w:r>
    </w:p>
    <w:p>
      <w:pPr>
        <w:shd w:val="clear" w:color="auto" w:fill="F1F5F9"/>
        <w:pBdr>
          <w:left w:val="single" w:sz="18" w:space="8" w:color="056DFE"/>
        </w:pBdr>
        <w:ind w:left="180"/>
        <w:jc w:val="both"/>
      </w:pPr>
      <w:r>
        <w:rPr>
          <w:b/>
        </w:rPr>
        <w:t xml:space="preserve">Este proceso ya está automatizado en Nuvigant.</w:t>
      </w:r>
      <w:r>
        <w:t xml:space="preserve"> El sistema de administración notarial de Nuvigant (</w:t>
      </w:r>
      <w:hyperlink r:id="rIdLink0">
        <w:r>
          <w:rPr>
            <w:color w:val="056DFE"/>
            <w:u w:val="single"/>
          </w:rPr>
          <w:t xml:space="preserve">nuvigant.com</w:t>
        </w:r>
      </w:hyperlink>
      <w:r>
        <w:t xml:space="preserve">) calcula el grado de riesgo de cada Cliente a partir de los datos capturados en el expediente, </w:t>
      </w:r>
      <w:r>
        <w:rPr>
          <w:b/>
        </w:rPr>
        <w:t xml:space="preserve">genera e imprime automáticamente</w:t>
      </w:r>
      <w:r>
        <w:t xml:space="preserve"> esta ficha de clasificación —con el histórico de cambios de grado y su justificación— sin necesidad de llenarla a mano. Esta plantilla en Word queda como respaldo manual y como referencia de los campos y criterios mínimos que exige la regla.</w:t>
      </w:r>
    </w:p>
    <w:tbl>
      <w:tblPr>
        <w:tblW w:w="9638" w:type="dxa"/>
        <w:tblLayout w:type="fixed"/>
        <w:tblCellMar>
          <w:top w:w="60" w:type="dxa"/>
          <w:left w:w="100" w:type="dxa"/>
          <w:bottom w:w="60" w:type="dxa"/>
          <w:right w:w="100" w:type="dxa"/>
        </w:tblCellMar>
      </w:tblPr>
      <w:tblGrid>
        <w:gridCol w:w="3277"/>
        <w:gridCol w:w="6361"/>
      </w:tblGrid>
      <w:tr>
        <w:trPr>
          <w:cantSplit/>
          <w:tblHeader/>
        </w:trPr>
        <w:tc>
          <w:tcPr>
            <w:tcW w:w="3277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sz w:val="19"/>
              </w:rPr>
              <w:t xml:space="preserve">Cliente / RFC / CURP</w:t>
            </w:r>
          </w:p>
        </w:tc>
        <w:tc>
          <w:tcPr>
            <w:tcW w:w="6361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sz w:val="19"/>
              </w:rPr>
              <w:t xml:space="preserve"> </w:t>
            </w:r>
          </w:p>
        </w:tc>
      </w:tr>
      <w:tr>
        <w:trPr>
          <w:cantSplit/>
        </w:trPr>
        <w:tc>
          <w:tcPr>
            <w:tcW w:w="3277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sz w:val="19"/>
              </w:rPr>
              <w:t xml:space="preserve">Tipo de persona y Anexo aplicable</w:t>
            </w:r>
          </w:p>
        </w:tc>
        <w:tc>
          <w:tcPr>
            <w:tcW w:w="6361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i/>
                <w:color w:val="7A5200"/>
                <w:highlight w:val="yellow"/>
                <w:sz w:val="19"/>
              </w:rPr>
              <w:t xml:space="preserve">[Anexo 3, 4, 4 Bis, 5, 6, 6 Bis, 7 / 7-A, 7 Bis / 7 Bis-A u 8]</w:t>
            </w:r>
          </w:p>
        </w:tc>
      </w:tr>
      <w:tr>
        <w:trPr>
          <w:cantSplit/>
        </w:trPr>
        <w:tc>
          <w:tcPr>
            <w:tcW w:w="3277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sz w:val="19"/>
              </w:rPr>
              <w:t xml:space="preserve">Acto u operación</w:t>
            </w:r>
          </w:p>
        </w:tc>
        <w:tc>
          <w:tcPr>
            <w:tcW w:w="6361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sz w:val="19"/>
              </w:rPr>
              <w:t xml:space="preserve"> </w:t>
            </w:r>
          </w:p>
        </w:tc>
      </w:tr>
      <w:tr>
        <w:trPr>
          <w:cantSplit/>
        </w:trPr>
        <w:tc>
          <w:tcPr>
            <w:tcW w:w="3277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sz w:val="19"/>
              </w:rPr>
              <w:t xml:space="preserve">Fecha de evaluación</w:t>
            </w:r>
          </w:p>
        </w:tc>
        <w:tc>
          <w:tcPr>
            <w:tcW w:w="6361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i/>
                <w:color w:val="7A5200"/>
                <w:highlight w:val="yellow"/>
                <w:sz w:val="19"/>
              </w:rPr>
              <w:t xml:space="preserve">[DD/MM/AAAA]</w:t>
            </w:r>
          </w:p>
        </w:tc>
      </w:tr>
    </w:tbl>
    <w:p/>
    <w:p>
      <w:pPr>
        <w:pStyle w:val="Heading1"/>
        <w:keepNext/>
      </w:pPr>
      <w:r>
        <w:t xml:space="preserve">1. Fundamento y factores de clasificación</w:t>
      </w:r>
    </w:p>
    <w:p>
      <w:pPr>
        <w:jc w:val="both"/>
      </w:pPr>
      <w:r>
        <w:t xml:space="preserve">El modelo de evaluación de riesgos debe ser coherente con la metodología documentada en el Manual de Políticas Internas, con un </w:t>
      </w:r>
      <w:r>
        <w:rPr>
          <w:b/>
        </w:rPr>
        <w:t xml:space="preserve">mínimo de tres grados</w:t>
      </w:r>
      <w:r>
        <w:t xml:space="preserve"> —bajo, medio y alto— más los grados intermedios que la Notaría determine. La reevaluación se realiza </w:t>
      </w:r>
      <w:r>
        <w:rPr>
          <w:b/>
        </w:rPr>
        <w:t xml:space="preserve">al menos cada seis meses</w:t>
      </w:r>
      <w:r>
        <w:t xml:space="preserve">, con mayor frecuencia a mayor grado de riesgo.</w:t>
      </w:r>
    </w:p>
    <w:tbl>
      <w:tblPr>
        <w:tblW w:w="9638" w:type="dxa"/>
        <w:tblLayout w:type="fixed"/>
        <w:tblCellMar>
          <w:top w:w="60" w:type="dxa"/>
          <w:left w:w="100" w:type="dxa"/>
          <w:bottom w:w="60" w:type="dxa"/>
          <w:right w:w="100" w:type="dxa"/>
        </w:tblCellMar>
      </w:tblPr>
      <w:tblGrid>
        <w:gridCol w:w="2891"/>
        <w:gridCol w:w="6747"/>
      </w:tblGrid>
      <w:tr>
        <w:trPr>
          <w:cantSplit/>
          <w:tblHeader/>
        </w:trPr>
        <w:tc>
          <w:tcPr>
            <w:tcW w:w="2891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sz w:val="19"/>
              </w:rPr>
              <w:t xml:space="preserve">Factores inherentes al Cliente</w:t>
            </w:r>
          </w:p>
        </w:tc>
        <w:tc>
          <w:tcPr>
            <w:tcW w:w="6747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sz w:val="19"/>
              </w:rPr>
              <w:t xml:space="preserve">Factores transaccionales</w:t>
            </w:r>
          </w:p>
        </w:tc>
      </w:tr>
      <w:tr>
        <w:trPr>
          <w:cantSplit/>
        </w:trPr>
        <w:tc>
          <w:tcPr>
            <w:tcW w:w="2891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Antecedentes, tipo de persona, giro o actividad, nacionalidad, residencia, fuentes de ingreso, naturaleza y propósito de la relación.</w:t>
            </w:r>
          </w:p>
        </w:tc>
        <w:tc>
          <w:tcPr>
            <w:tcW w:w="6747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Tipo, volumen, frecuencia y monto de las operaciones; contrapartes; origen y destino de los recursos; instrumento monetario y moneda.</w:t>
            </w:r>
          </w:p>
        </w:tc>
      </w:tr>
    </w:tbl>
    <w:p/>
    <w:p>
      <w:pPr>
        <w:pStyle w:val="Heading1"/>
        <w:keepNext/>
      </w:pPr>
      <w:r>
        <w:t xml:space="preserve">2. Matriz de grados de riesgo</w:t>
      </w:r>
    </w:p>
    <w:tbl>
      <w:tblPr>
        <w:tblW w:w="9638" w:type="dxa"/>
        <w:tblLayout w:type="fixed"/>
        <w:tblCellMar>
          <w:top w:w="60" w:type="dxa"/>
          <w:left w:w="100" w:type="dxa"/>
          <w:bottom w:w="60" w:type="dxa"/>
          <w:right w:w="100" w:type="dxa"/>
        </w:tblCellMar>
      </w:tblPr>
      <w:tblGrid>
        <w:gridCol w:w="1542"/>
        <w:gridCol w:w="8096"/>
      </w:tblGrid>
      <w:tr>
        <w:trPr>
          <w:cantSplit/>
          <w:tblHeader/>
        </w:trPr>
        <w:tc>
          <w:tcPr>
            <w:tcW w:w="1542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sz w:val="19"/>
              </w:rPr>
              <w:t xml:space="preserve">Grado</w:t>
            </w:r>
          </w:p>
        </w:tc>
        <w:tc>
          <w:tcPr>
            <w:tcW w:w="8096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sz w:val="19"/>
              </w:rPr>
              <w:t xml:space="preserve">Medidas aplicables al expediente</w:t>
            </w:r>
          </w:p>
        </w:tc>
      </w:tr>
      <w:tr>
        <w:trPr>
          <w:cantSplit/>
        </w:trPr>
        <w:tc>
          <w:tcPr>
            <w:tcW w:w="1542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b/>
                <w:sz w:val="19"/>
              </w:rPr>
              <w:t xml:space="preserve">Bajo</w:t>
            </w:r>
            <w:r>
              <w:br/>
            </w:r>
            <w:r>
              <w:rPr>
                <w:i/>
                <w:color w:val="64748B"/>
                <w:sz w:val="19"/>
              </w:rPr>
              <w:t xml:space="preserve">art. 17</w:t>
            </w:r>
          </w:p>
        </w:tc>
        <w:tc>
          <w:tcPr>
            <w:tcW w:w="8096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Expediente simplificado —solo datos de los Anexos 3, 4, 4 Bis, 5, 6, 6 Bis, 7 Bis u 8— exigiendo los documentos </w:t>
            </w:r>
            <w:r>
              <w:rPr>
                <w:b/>
                <w:sz w:val="19"/>
              </w:rPr>
              <w:t xml:space="preserve">en original o copia certificada por fedatario público</w:t>
            </w:r>
            <w:r>
              <w:rPr>
                <w:sz w:val="19"/>
              </w:rPr>
              <w:t xml:space="preserve">. Requiere que los criterios de bajo riesgo estén asentados en el Manual.</w:t>
            </w:r>
          </w:p>
        </w:tc>
      </w:tr>
      <w:tr>
        <w:trPr>
          <w:cantSplit/>
        </w:trPr>
        <w:tc>
          <w:tcPr>
            <w:tcW w:w="1542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b/>
                <w:sz w:val="19"/>
              </w:rPr>
              <w:t xml:space="preserve">Medio</w:t>
            </w:r>
            <w:r>
              <w:br/>
            </w:r>
            <w:r>
              <w:rPr>
                <w:i/>
                <w:color w:val="64748B"/>
                <w:sz w:val="19"/>
              </w:rPr>
              <w:t xml:space="preserve">art. 17 Bis</w:t>
            </w:r>
          </w:p>
        </w:tc>
        <w:tc>
          <w:tcPr>
            <w:tcW w:w="8096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Expediente único </w:t>
            </w:r>
            <w:r>
              <w:rPr>
                <w:b/>
                <w:sz w:val="19"/>
              </w:rPr>
              <w:t xml:space="preserve">completo</w:t>
            </w:r>
            <w:r>
              <w:rPr>
                <w:sz w:val="19"/>
              </w:rPr>
              <w:t xml:space="preserve"> conforme al artículo 12.</w:t>
            </w:r>
          </w:p>
        </w:tc>
      </w:tr>
      <w:tr>
        <w:trPr>
          <w:cantSplit/>
        </w:trPr>
        <w:tc>
          <w:tcPr>
            <w:tcW w:w="1542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b/>
                <w:sz w:val="19"/>
              </w:rPr>
              <w:t xml:space="preserve">Alto</w:t>
            </w:r>
            <w:r>
              <w:br/>
            </w:r>
            <w:r>
              <w:rPr>
                <w:i/>
                <w:color w:val="64748B"/>
                <w:sz w:val="19"/>
              </w:rPr>
              <w:t xml:space="preserve">arts. 23 Ter 3 y 23 Ter 4</w:t>
            </w:r>
          </w:p>
        </w:tc>
        <w:tc>
          <w:tcPr>
            <w:tcW w:w="8096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Diligencia reforzada: cuestionario de origen y destino de recursos; datos del cónyuge y dependientes económicos y de sociedades con vínculos patrimoniales; para personas morales, verificación de socios en los registros electrónicos de la Secretaría de Economía; monitoreo transaccional más estricto.</w:t>
            </w:r>
          </w:p>
        </w:tc>
      </w:tr>
    </w:tbl>
    <w:p/>
    <w:p>
      <w:pPr>
        <w:pStyle w:val="Heading1"/>
        <w:keepNext/>
      </w:pPr>
      <w:r>
        <w:t xml:space="preserve">3. Riesgo alto automático (art. 23 Bis 4)</w:t>
      </w:r>
    </w:p>
    <w:p>
      <w:pPr>
        <w:numPr>
          <w:ilvl w:val="0"/>
          <w:numId w:val="1"/>
        </w:numPr>
        <w:spacing w:after="60"/>
        <w:jc w:val="both"/>
      </w:pPr>
      <w:r>
        <w:t xml:space="preserve">Personas </w:t>
      </w:r>
      <w:r>
        <w:rPr>
          <w:b/>
        </w:rPr>
        <w:t xml:space="preserve">no residentes en México</w:t>
      </w:r>
      <w:r>
        <w:t xml:space="preserve"> vinculadas a jurisdicciones con regímenes fiscales preferentes o listadas como deficientes en materia de prevención de lavado de dinero.</w:t>
      </w:r>
    </w:p>
    <w:p>
      <w:pPr>
        <w:numPr>
          <w:ilvl w:val="0"/>
          <w:numId w:val="1"/>
        </w:numPr>
        <w:spacing w:after="60"/>
        <w:jc w:val="both"/>
      </w:pPr>
      <w:r>
        <w:rPr>
          <w:b/>
        </w:rPr>
        <w:t xml:space="preserve">PEP extranjeras.</w:t>
      </w:r>
    </w:p>
    <w:p>
      <w:pPr>
        <w:jc w:val="both"/>
      </w:pPr>
      <w:r>
        <w:t xml:space="preserve">En ambos supuestos se debe asentar en el expediente las razones por las que el acto se celebró en territorio mexicano.</w:t>
      </w:r>
    </w:p>
    <w:p>
      <w:pPr>
        <w:pStyle w:val="Heading1"/>
        <w:keepNext/>
      </w:pPr>
      <w:r>
        <w:t xml:space="preserve">4. Ficha de clasificación</w:t>
      </w:r>
    </w:p>
    <w:tbl>
      <w:tblPr>
        <w:tblW w:w="9638" w:type="dxa"/>
        <w:tblLayout w:type="fixed"/>
        <w:tblCellMar>
          <w:top w:w="60" w:type="dxa"/>
          <w:left w:w="100" w:type="dxa"/>
          <w:bottom w:w="60" w:type="dxa"/>
          <w:right w:w="100" w:type="dxa"/>
        </w:tblCellMar>
      </w:tblPr>
      <w:tblGrid>
        <w:gridCol w:w="3277"/>
        <w:gridCol w:w="6361"/>
      </w:tblGrid>
      <w:tr>
        <w:trPr>
          <w:cantSplit/>
          <w:tblHeader/>
        </w:trPr>
        <w:tc>
          <w:tcPr>
            <w:tcW w:w="3277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sz w:val="19"/>
              </w:rPr>
              <w:t xml:space="preserve">Campo</w:t>
            </w:r>
          </w:p>
        </w:tc>
        <w:tc>
          <w:tcPr>
            <w:tcW w:w="6361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sz w:val="19"/>
              </w:rPr>
              <w:t xml:space="preserve">Contenido</w:t>
            </w:r>
          </w:p>
        </w:tc>
      </w:tr>
      <w:tr>
        <w:trPr>
          <w:cantSplit/>
        </w:trPr>
        <w:tc>
          <w:tcPr>
            <w:tcW w:w="3277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Factores inherentes evaluados</w:t>
            </w:r>
          </w:p>
        </w:tc>
        <w:tc>
          <w:tcPr>
            <w:tcW w:w="6361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sz w:val="19"/>
              </w:rPr>
              <w:t xml:space="preserve"> </w:t>
            </w:r>
          </w:p>
        </w:tc>
      </w:tr>
      <w:tr>
        <w:trPr>
          <w:cantSplit/>
        </w:trPr>
        <w:tc>
          <w:tcPr>
            <w:tcW w:w="3277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Factores transaccionales evaluados</w:t>
            </w:r>
          </w:p>
        </w:tc>
        <w:tc>
          <w:tcPr>
            <w:tcW w:w="6361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sz w:val="19"/>
              </w:rPr>
              <w:t xml:space="preserve"> </w:t>
            </w:r>
          </w:p>
        </w:tc>
      </w:tr>
      <w:tr>
        <w:trPr>
          <w:cantSplit/>
        </w:trPr>
        <w:tc>
          <w:tcPr>
            <w:tcW w:w="3277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Puntaje total</w:t>
            </w:r>
          </w:p>
        </w:tc>
        <w:tc>
          <w:tcPr>
            <w:tcW w:w="6361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sz w:val="19"/>
              </w:rPr>
              <w:t xml:space="preserve"> </w:t>
            </w:r>
          </w:p>
        </w:tc>
      </w:tr>
      <w:tr>
        <w:trPr>
          <w:cantSplit/>
        </w:trPr>
        <w:tc>
          <w:tcPr>
            <w:tcW w:w="3277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Grado asignado</w:t>
            </w:r>
          </w:p>
        </w:tc>
        <w:tc>
          <w:tcPr>
            <w:tcW w:w="6361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sz w:val="19"/>
              </w:rPr>
              <w:t xml:space="preserve">Bajo ☐ Medio ☐ Alto ☐</w:t>
            </w:r>
          </w:p>
        </w:tc>
      </w:tr>
      <w:tr>
        <w:trPr>
          <w:cantSplit/>
        </w:trPr>
        <w:tc>
          <w:tcPr>
            <w:tcW w:w="3277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¿PEP? / ¿riesgo alto automático?</w:t>
            </w:r>
          </w:p>
        </w:tc>
        <w:tc>
          <w:tcPr>
            <w:tcW w:w="6361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sz w:val="19"/>
              </w:rPr>
              <w:t xml:space="preserve">Sí ☐ No ☐ — Fundamento:</w:t>
            </w:r>
          </w:p>
        </w:tc>
      </w:tr>
      <w:tr>
        <w:trPr>
          <w:cantSplit/>
        </w:trPr>
        <w:tc>
          <w:tcPr>
            <w:tcW w:w="3277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Medidas de diligencia aplicadas</w:t>
            </w:r>
          </w:p>
        </w:tc>
        <w:tc>
          <w:tcPr>
            <w:tcW w:w="6361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sz w:val="19"/>
              </w:rPr>
              <w:t xml:space="preserve"> </w:t>
            </w:r>
          </w:p>
        </w:tc>
      </w:tr>
      <w:tr>
        <w:trPr>
          <w:cantSplit/>
        </w:trPr>
        <w:tc>
          <w:tcPr>
            <w:tcW w:w="3277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Fecha de próxima reevaluación (máx. 6 meses)</w:t>
            </w:r>
          </w:p>
        </w:tc>
        <w:tc>
          <w:tcPr>
            <w:tcW w:w="6361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sz w:val="19"/>
              </w:rPr>
              <w:t xml:space="preserve"> </w:t>
            </w:r>
          </w:p>
        </w:tc>
      </w:tr>
      <w:tr>
        <w:trPr>
          <w:cantSplit/>
        </w:trPr>
        <w:tc>
          <w:tcPr>
            <w:tcW w:w="3277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Elaboró / validó</w:t>
            </w:r>
          </w:p>
        </w:tc>
        <w:tc>
          <w:tcPr>
            <w:tcW w:w="6361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sz w:val="19"/>
              </w:rPr>
              <w:t xml:space="preserve"> </w:t>
            </w:r>
          </w:p>
        </w:tc>
      </w:tr>
    </w:tbl>
    <w:p/>
    <w:p>
      <w:pPr>
        <w:pStyle w:val="Heading1"/>
        <w:keepNext/>
      </w:pPr>
      <w:r>
        <w:t xml:space="preserve">5. Histórico de reclasificaciones</w:t>
      </w:r>
    </w:p>
    <w:tbl>
      <w:tblPr>
        <w:tblW w:w="9638" w:type="dxa"/>
        <w:tblLayout w:type="fixed"/>
        <w:tblCellMar>
          <w:top w:w="60" w:type="dxa"/>
          <w:left w:w="100" w:type="dxa"/>
          <w:bottom w:w="60" w:type="dxa"/>
          <w:right w:w="100" w:type="dxa"/>
        </w:tblCellMar>
      </w:tblPr>
      <w:tblGrid>
        <w:gridCol w:w="1542"/>
        <w:gridCol w:w="1542"/>
        <w:gridCol w:w="1542"/>
        <w:gridCol w:w="5012"/>
      </w:tblGrid>
      <w:tr>
        <w:trPr>
          <w:cantSplit/>
          <w:tblHeader/>
        </w:trPr>
        <w:tc>
          <w:tcPr>
            <w:tcW w:w="1542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sz w:val="19"/>
              </w:rPr>
              <w:t xml:space="preserve">Fecha</w:t>
            </w:r>
          </w:p>
        </w:tc>
        <w:tc>
          <w:tcPr>
            <w:tcW w:w="1542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sz w:val="19"/>
              </w:rPr>
              <w:t xml:space="preserve">Grado anterior</w:t>
            </w:r>
          </w:p>
        </w:tc>
        <w:tc>
          <w:tcPr>
            <w:tcW w:w="1542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sz w:val="19"/>
              </w:rPr>
              <w:t xml:space="preserve">Grado nuevo</w:t>
            </w:r>
          </w:p>
        </w:tc>
        <w:tc>
          <w:tcPr>
            <w:tcW w:w="5012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sz w:val="19"/>
              </w:rPr>
              <w:t xml:space="preserve">Motivo del cambio</w:t>
            </w:r>
          </w:p>
        </w:tc>
      </w:tr>
      <w:tr>
        <w:trPr>
          <w:cantSplit/>
        </w:trPr>
        <w:tc>
          <w:tcPr>
            <w:tcW w:w="1542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sz w:val="19"/>
              </w:rPr>
              <w:t xml:space="preserve"> </w:t>
            </w:r>
          </w:p>
        </w:tc>
        <w:tc>
          <w:tcPr>
            <w:tcW w:w="1542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sz w:val="19"/>
              </w:rPr>
              <w:t xml:space="preserve"> </w:t>
            </w:r>
          </w:p>
        </w:tc>
        <w:tc>
          <w:tcPr>
            <w:tcW w:w="1542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sz w:val="19"/>
              </w:rPr>
              <w:t xml:space="preserve"> </w:t>
            </w:r>
          </w:p>
        </w:tc>
        <w:tc>
          <w:tcPr>
            <w:tcW w:w="5012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sz w:val="19"/>
              </w:rPr>
              <w:t xml:space="preserve"> </w:t>
            </w:r>
          </w:p>
        </w:tc>
      </w:tr>
      <w:tr>
        <w:trPr>
          <w:cantSplit/>
        </w:trPr>
        <w:tc>
          <w:tcPr>
            <w:tcW w:w="1542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sz w:val="19"/>
              </w:rPr>
              <w:t xml:space="preserve"> </w:t>
            </w:r>
          </w:p>
        </w:tc>
        <w:tc>
          <w:tcPr>
            <w:tcW w:w="1542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sz w:val="19"/>
              </w:rPr>
              <w:t xml:space="preserve"> </w:t>
            </w:r>
          </w:p>
        </w:tc>
        <w:tc>
          <w:tcPr>
            <w:tcW w:w="1542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sz w:val="19"/>
              </w:rPr>
              <w:t xml:space="preserve"> </w:t>
            </w:r>
          </w:p>
        </w:tc>
        <w:tc>
          <w:tcPr>
            <w:tcW w:w="5012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sz w:val="19"/>
              </w:rPr>
              <w:t xml:space="preserve"> </w:t>
            </w:r>
          </w:p>
        </w:tc>
      </w:tr>
    </w:tbl>
    <w:p/>
    <w:p>
      <w:pPr>
        <w:jc w:val="both"/>
      </w:pPr>
      <w:r>
        <w:rPr>
          <w:i/>
          <w:color w:val="64748B"/>
          <w:sz w:val="19"/>
        </w:rPr>
        <w:t xml:space="preserve">Conservación del histórico de cambios de grado de riesgo: no menos de 10 años (art. 41).</w:t>
      </w:r>
    </w:p>
    <w:p>
      <w:pPr>
        <w:pBdr>
          <w:bottom w:val="single" w:sz="6" w:space="1" w:color="CBD5E1"/>
        </w:pBdr>
      </w:pPr>
    </w:p>
    <w:p>
      <w:pPr>
        <w:jc w:val="both"/>
      </w:pPr>
      <w:r>
        <w:rPr>
          <w:color w:val="64748B"/>
          <w:sz w:val="18"/>
        </w:rPr>
        <w:t xml:space="preserve">Plantilla elaborada por </w:t>
      </w:r>
      <w:r>
        <w:rPr>
          <w:b/>
          <w:color w:val="64748B"/>
          <w:sz w:val="18"/>
        </w:rPr>
        <w:t xml:space="preserve">Nuvigant</w:t>
      </w:r>
      <w:r>
        <w:rPr>
          <w:color w:val="64748B"/>
          <w:sz w:val="18"/>
        </w:rPr>
        <w:t xml:space="preserve"> con base en el Acuerdo 115/2026 publicado en el Diario Oficial de la Federación el 7 de agosto de 2026 (</w:t>
      </w:r>
      <w:hyperlink r:id="rIdLink1">
        <w:r>
          <w:rPr>
            <w:color w:val="056DFE"/>
            <w:u w:val="single"/>
            <w:sz w:val="18"/>
          </w:rPr>
          <w:t xml:space="preserve">dof.gob.mx</w:t>
        </w:r>
      </w:hyperlink>
      <w:r>
        <w:rPr>
          <w:color w:val="64748B"/>
          <w:sz w:val="18"/>
        </w:rPr>
        <w:t xml:space="preserve">). Documento de uso libre para fines de cumplimiento interno; no constituye asesoría jurídica. </w:t>
      </w:r>
      <w:hyperlink r:id="rIdLink0">
        <w:r>
          <w:rPr>
            <w:color w:val="056DFE"/>
            <w:u w:val="single"/>
            <w:sz w:val="18"/>
          </w:rPr>
          <w:t xml:space="preserve">nuvigant.com</w:t>
        </w:r>
      </w:hyperlink>
    </w:p>
    <w:sectPr>
      <w:pgSz w:w="11906" w:h="16838"/>
      <w:pgMar w:top="1134" w:right="1134" w:bottom="1134" w:left="1134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multiLevelType w:val="singleLevel"/>
    <w:lvl w:ilvl="0">
      <w:start w:val="1"/>
      <w:numFmt w:val="bullet"/>
      <w:lvlText w:val="•"/>
      <w:lvlJc w:val="left"/>
      <w:pPr>
        <w:ind w:left="454" w:hanging="284"/>
      </w:pPr>
      <w:rPr>
        <w:rFonts w:ascii="Segoe UI Symbol" w:hAnsi="Segoe UI Symbol" w:hint="default"/>
      </w:rPr>
    </w:lvl>
  </w:abstractNum>
  <w:abstractNum w:abstractNumId="1">
    <w:multiLevelType w:val="singleLevel"/>
    <w:lvl w:ilvl="0">
      <w:start w:val="1"/>
      <w:numFmt w:val="decimal"/>
      <w:lvlText w:val="%1."/>
      <w:lvlJc w:val="left"/>
      <w:pPr>
        <w:ind w:left="454" w:hanging="284"/>
      </w:pPr>
    </w:lvl>
  </w:abstractNum>
  <w:num w:numId="1">
    <w:abstractNumId w:val="0"/>
    <w:lvlOverride w:ilvl="0">
      <w:startOverride w:val="1"/>
    </w:lvlOverride>
  </w:num>
</w:numbering>
</file>

<file path=word/styles.xml><?xml version="1.0" encoding="utf-8"?>
<w:styles xmlns:w="http://schemas.openxmlformats.org/wordprocessingml/2006/main">
  <w:docDefaults>
    <w:rPrDefault>
      <w:rPr>
        <w:rFonts w:ascii="Georgia" w:hAnsi="Georgia"/>
        <w:sz w:val="22"/>
        <w:lang w:val="es-MX"/>
      </w:rPr>
    </w:rPrDefault>
    <w:pPrDefault>
      <w:pPr>
        <w:spacing w:after="140" w:line="288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next w:val="Normal"/>
    <w:qFormat/>
    <w:pPr>
      <w:keepNext/>
      <w:spacing w:before="0" w:after="140"/>
      <w:outlineLvl w:val="0"/>
      <w:jc w:val="left"/>
    </w:pPr>
    <w:rPr>
      <w:rFonts w:ascii="Segoe UI" w:hAnsi="Segoe UI"/>
      <w:b/>
      <w:color w:val="0F172A"/>
      <w:sz w:val="48"/>
    </w:rPr>
  </w:style>
  <w:style w:type="paragraph" w:styleId="Heading1">
    <w:name w:val="heading 1"/>
    <w:basedOn w:val="Normal"/>
    <w:next w:val="Normal"/>
    <w:qFormat/>
    <w:pPr>
      <w:keepNext/>
      <w:spacing w:before="0" w:after="140"/>
      <w:outlineLvl w:val="0"/>
      <w:pBdr>
        <w:bottom w:val="single" w:sz="12" w:space="4" w:color="056DFE"/>
      </w:pBdr>
      <w:jc w:val="left"/>
    </w:pPr>
    <w:rPr>
      <w:rFonts w:ascii="Segoe UI" w:hAnsi="Segoe UI"/>
      <w:b/>
      <w:color w:val="0B3D91"/>
      <w:sz w:val="30"/>
    </w:rPr>
  </w:style>
  <w:style w:type="paragraph" w:styleId="Heading2">
    <w:name w:val="heading 2"/>
    <w:basedOn w:val="Normal"/>
    <w:next w:val="Normal"/>
    <w:qFormat/>
    <w:pPr>
      <w:keepNext/>
      <w:spacing w:before="320" w:after="140"/>
      <w:outlineLvl w:val="1"/>
      <w:jc w:val="left"/>
    </w:pPr>
    <w:rPr>
      <w:rFonts w:ascii="Segoe UI" w:hAnsi="Segoe UI"/>
      <w:b/>
      <w:color w:val="0F172A"/>
      <w:sz w:val="25"/>
    </w:rPr>
  </w:style>
  <w:style w:type="paragraph" w:styleId="Heading3">
    <w:name w:val="heading 3"/>
    <w:basedOn w:val="Normal"/>
    <w:next w:val="Normal"/>
    <w:qFormat/>
    <w:pPr>
      <w:keepNext/>
      <w:spacing w:before="320" w:after="140"/>
      <w:outlineLvl w:val="2"/>
      <w:jc w:val="left"/>
    </w:pPr>
    <w:rPr>
      <w:rFonts w:ascii="Segoe UI" w:hAnsi="Segoe UI"/>
      <w:b/>
      <w:color w:val="0F172A"/>
      <w:sz w:val="22"/>
    </w:rPr>
  </w:style>
</w:styles>
</file>

<file path=word/_rels/document.xml.rels><?xml version="1.0" encoding="UTF-8" standalone="yes"?>
<Relationships xmlns="http://schemas.openxmlformats.org/package/2006/relationships">
<Relationship Id="rIdStyles" Type="http://schemas.openxmlformats.org/officeDocument/2006/relationships/styles" Target="styles.xml"/>
<Relationship Id="rIdNumbering" Type="http://schemas.openxmlformats.org/officeDocument/2006/relationships/numbering" Target="numbering.xml"/>
<Relationship Id="rIdLink0" Type="http://schemas.openxmlformats.org/officeDocument/2006/relationships/hyperlink" Target="https://nuvigant.com" TargetMode="External"/>
<Relationship Id="rIdLink1" Type="http://schemas.openxmlformats.org/officeDocument/2006/relationships/hyperlink" Target="https://dof.gob.mx/nota_detalle.php?codigo=5795797&amp;amp;fecha=07/08/2026" TargetMode="External"/>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Nuvigant</Application>
  <Company>Nuvigant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Ficha y Matriz de Clasificación de Clientes por Grado de Riesgo — LFPIORPI 2026</dc:title>
  <dc:creator>Nuvigant</dc:creator>
  <cp:lastModifiedBy>Nuvigant</cp:lastModifiedBy>
  <dc:description>Formato para clasificar Clientes en grado de riesgo bajo, medio o alto conforme al Cap. III Bis de las Reglas de Carácter General de la LFPIORPI (Acuerdo 115/2026, DOF 07/08/2026).</dc:description>
  <cp:revision>1</cp:revision>
</cp:coreProperties>
</file>