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left"/>
      </w:pPr>
      <w:r>
        <w:rPr>
          <w:b/>
          <w:color w:val="056DFE"/>
          <w:sz w:val="18"/>
        </w:rPr>
        <w:t xml:space="preserve">Prevención de Lavado de Dinero · Cap. XII, arts. 39 a 39 Bis 2</w:t>
      </w:r>
    </w:p>
    <w:p>
      <w:pPr>
        <w:pStyle w:val="Title"/>
        <w:keepNext/>
      </w:pPr>
      <w:r>
        <w:t xml:space="preserve">Manual de Selección, Contratación y Capacitación de Personal</w:t>
      </w:r>
    </w:p>
    <w:p>
      <w:pPr>
        <w:jc w:val="left"/>
      </w:pPr>
      <w:r>
        <w:t xml:space="preserve">Procedimientos exigidos por las Reglas de Carácter General de la LFPIORPI, reformadas por el </w:t>
      </w:r>
      <w:r>
        <w:rPr>
          <w:b/>
        </w:rPr>
        <w:t xml:space="preserve">Acuerdo 115/2026</w:t>
      </w:r>
      <w:r>
        <w:t xml:space="preserve"> (DOF 7 de agosto de 2026), para la selección de personal, la declaración firmada de honorabilidad y el programa anual de capacitación en materia de prevención de lavado de dinero.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277"/>
        <w:gridCol w:w="6361"/>
      </w:tblGrid>
      <w:tr>
        <w:trPr>
          <w:cantSplit/>
          <w:tblHeader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Sujeto obligado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[Nombre del Notario / Notaría Pública No. __ del Estado de ______]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Puesto que ingresa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[Puesto]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Versión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[1.0]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 de elaboración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[DD/MM/AAAA]</w:t>
            </w:r>
          </w:p>
        </w:tc>
      </w:tr>
    </w:tbl>
    <w:p/>
    <w:p>
      <w:pPr>
        <w:shd w:val="clear" w:color="auto" w:fill="FFFBEB"/>
        <w:pBdr>
          <w:left w:val="single" w:sz="18" w:space="8" w:color="D97706"/>
        </w:pBdr>
        <w:ind w:left="180"/>
        <w:jc w:val="both"/>
      </w:pPr>
      <w:r>
        <w:rPr>
          <w:b/>
          <w:color w:val="78350F"/>
        </w:rPr>
        <w:t xml:space="preserve">Aviso sobre el uso de esta plantilla.</w:t>
      </w:r>
      <w:r>
        <w:rPr>
          <w:color w:val="78350F"/>
        </w:rPr>
        <w:t xml:space="preserve"> Modelo de referencia elaborado por Nuvigant. No constituye asesoría jurídica ni sustituye la revisión de un especialista en materia laboral. Aplicable a las contrataciones realizadas a partir del </w:t>
      </w:r>
      <w:r>
        <w:rPr>
          <w:b/>
          <w:color w:val="78350F"/>
        </w:rPr>
        <w:t xml:space="preserve">1 de marzo de 2027</w:t>
      </w:r>
      <w:r>
        <w:rPr>
          <w:color w:val="78350F"/>
        </w:rPr>
        <w:t xml:space="preserve"> (Transitorio Sexto).</w:t>
      </w:r>
    </w:p>
    <w:p>
      <w:pPr>
        <w:pStyle w:val="Heading1"/>
        <w:keepNext/>
      </w:pPr>
      <w:r>
        <w:t xml:space="preserve">1. Objeto y ámbito</w:t>
      </w:r>
    </w:p>
    <w:p>
      <w:pPr>
        <w:jc w:val="both"/>
      </w:pPr>
      <w:r>
        <w:t xml:space="preserve">Establecer los procedimientos que garanticen la calidad técnica, la experiencia y la honorabilidad del personal que participa en la identificación de Clientes, la integración de expedientes, el envío de Avisos, el análisis de alertas o la función de auditoría, conforme al artículo 39 Bis 2 de las Reglas.</w:t>
      </w:r>
    </w:p>
    <w:p>
      <w:pPr>
        <w:pStyle w:val="Heading1"/>
        <w:keepNext/>
      </w:pPr>
      <w:r>
        <w:t xml:space="preserve">2. Perfil y criterios de selección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91"/>
        <w:gridCol w:w="6747"/>
      </w:tblGrid>
      <w:tr>
        <w:trPr>
          <w:cantSplit/>
          <w:tblHeader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Criterio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Qué se verifica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Calidad técnica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Formación y experiencia acorde al puesto (atención al público, identificación de Clientes, análisis de riesgo, auditoría).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Experiencia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Trayectoria laboral, con énfasis en los sectores obligados en los que haya laborado previamente.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Honorabilidad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Sin sentencia por delitos patrimoniales; sin inhabilitación para ejercer el comercio, para desempeñar un empleo, cargo o comisión en el servicio público, o en el sistema financiero.</w:t>
            </w:r>
          </w:p>
        </w:tc>
      </w:tr>
    </w:tbl>
    <w:p/>
    <w:p>
      <w:pPr>
        <w:pStyle w:val="Heading1"/>
        <w:keepNext/>
      </w:pPr>
      <w:r>
        <w:t xml:space="preserve">3. Verificaciones previas a la contratación</w:t>
      </w:r>
    </w:p>
    <w:p>
      <w:pPr>
        <w:numPr>
          <w:ilvl w:val="0"/>
          <w:numId w:val="1"/>
        </w:numPr>
        <w:spacing w:after="60"/>
        <w:jc w:val="both"/>
      </w:pPr>
      <w:r>
        <w:t xml:space="preserve">Solicitud de referencias laborales de al menos </w:t>
      </w:r>
      <w:r>
        <w:rPr>
          <w:i/>
          <w:color w:val="7A5200"/>
          <w:highlight w:val="yellow"/>
        </w:rPr>
        <w:t xml:space="preserve">[dos]</w:t>
      </w:r>
      <w:r>
        <w:t xml:space="preserve"> empleos anteriores.</w:t>
      </w:r>
    </w:p>
    <w:p>
      <w:pPr>
        <w:numPr>
          <w:ilvl w:val="0"/>
          <w:numId w:val="1"/>
        </w:numPr>
        <w:spacing w:after="60"/>
        <w:jc w:val="both"/>
      </w:pPr>
      <w:r>
        <w:t xml:space="preserve">Verificación documental de identidad, domicilio y antecedentes académicos.</w:t>
      </w:r>
    </w:p>
    <w:p>
      <w:pPr>
        <w:numPr>
          <w:ilvl w:val="0"/>
          <w:numId w:val="1"/>
        </w:numPr>
        <w:spacing w:after="60"/>
        <w:jc w:val="both"/>
      </w:pPr>
      <w:r>
        <w:t xml:space="preserve">Consulta de listas nacionales e internacionales del artículo 38 respecto del candidato.</w:t>
      </w:r>
    </w:p>
    <w:p>
      <w:pPr>
        <w:numPr>
          <w:ilvl w:val="0"/>
          <w:numId w:val="1"/>
        </w:numPr>
        <w:spacing w:after="60"/>
        <w:jc w:val="both"/>
      </w:pPr>
      <w:r>
        <w:t xml:space="preserve">Entrevista dirigida a confirmar honorabilidad y ausencia de conflictos de interés.</w:t>
      </w:r>
    </w:p>
    <w:p>
      <w:pPr>
        <w:numPr>
          <w:ilvl w:val="0"/>
          <w:numId w:val="1"/>
        </w:numPr>
        <w:spacing w:after="60"/>
        <w:jc w:val="both"/>
      </w:pPr>
      <w:r>
        <w:t xml:space="preserve">Recepción de la </w:t>
      </w:r>
      <w:r>
        <w:rPr>
          <w:b/>
        </w:rPr>
        <w:t xml:space="preserve">declaración firmada</w:t>
      </w:r>
      <w:r>
        <w:t xml:space="preserve"> del apartado 4, previa a la fecha de ingreso.</w:t>
      </w:r>
    </w:p>
    <w:p>
      <w:pPr>
        <w:pStyle w:val="Heading1"/>
        <w:keepNext/>
      </w:pPr>
      <w:r>
        <w:t xml:space="preserve">4. Declaración firmada de honorabilidad (art. 39 Bis 2)</w:t>
      </w:r>
    </w:p>
    <w:p>
      <w:pPr>
        <w:jc w:val="both"/>
      </w:pPr>
      <w:r>
        <w:t xml:space="preserve">El que suscribe, </w:t>
      </w:r>
      <w:r>
        <w:rPr>
          <w:i/>
          <w:color w:val="7A5200"/>
          <w:highlight w:val="yellow"/>
        </w:rPr>
        <w:t xml:space="preserve">[nombre completo]</w:t>
      </w:r>
      <w:r>
        <w:t xml:space="preserve">, con el carácter de </w:t>
      </w:r>
      <w:r>
        <w:rPr>
          <w:i/>
          <w:color w:val="7A5200"/>
          <w:highlight w:val="yellow"/>
        </w:rPr>
        <w:t xml:space="preserve">[puesto que ocupará]</w:t>
      </w:r>
      <w:r>
        <w:t xml:space="preserve">, declara bajo protesta de decir verdad que:</w:t>
      </w:r>
    </w:p>
    <w:p>
      <w:pPr>
        <w:numPr>
          <w:ilvl w:val="0"/>
          <w:numId w:val="2"/>
        </w:numPr>
        <w:spacing w:after="60"/>
        <w:jc w:val="both"/>
      </w:pPr>
      <w:r>
        <w:t xml:space="preserve">Los sectores obligados en los que ha laborado previamente son: </w:t>
      </w:r>
      <w:r>
        <w:rPr>
          <w:i/>
          <w:color w:val="7A5200"/>
          <w:highlight w:val="yellow"/>
        </w:rPr>
        <w:t xml:space="preserve">[enumerar o señalar "ninguno"]</w:t>
      </w:r>
      <w:r>
        <w:t xml:space="preserve">.</w:t>
      </w:r>
    </w:p>
    <w:p>
      <w:pPr>
        <w:numPr>
          <w:ilvl w:val="0"/>
          <w:numId w:val="2"/>
        </w:numPr>
        <w:spacing w:after="60"/>
        <w:jc w:val="both"/>
      </w:pPr>
      <w:r>
        <w:t xml:space="preserve">No ha sido sentenciado por delitos patrimoniales ni inhabilitado para ejercer el comercio, para desempeñar un empleo, cargo o comisión en el servicio público, o en el sistema financiero.</w:t>
      </w:r>
    </w:p>
    <w:p>
      <w:pPr>
        <w:jc w:val="both"/>
      </w:pPr>
      <w:r>
        <w:t xml:space="preserve">Manifiesta conocer el Manual de Políticas Internas de la Notaría y las obligaciones de confidencialidad y de prohibición de alertamiento (</w:t>
      </w:r>
      <w:r>
        <w:rPr>
          <w:i/>
        </w:rPr>
        <w:t xml:space="preserve">tipping off</w:t>
      </w:r>
      <w:r>
        <w:t xml:space="preserve">) que le corresponden a partir de su ingreso.</w:t>
      </w:r>
    </w:p>
    <w:p/>
    <w:p>
      <w:pPr>
        <w:pBdr>
          <w:top w:val="single" w:sz="6" w:space="4" w:color="0F172A"/>
        </w:pBdr>
        <w:spacing w:before="360"/>
      </w:pPr>
      <w:r>
        <w:rPr>
          <w:i/>
          <w:color w:val="7A5200"/>
          <w:highlight w:val="yellow"/>
        </w:rPr>
        <w:t xml:space="preserve">[Lugar y fecha — Nombre y firma del candidato o empleado]</w:t>
      </w:r>
    </w:p>
    <w:p/>
    <w:p>
      <w:pPr>
        <w:pStyle w:val="Heading1"/>
        <w:keepNext/>
      </w:pPr>
      <w:r>
        <w:t xml:space="preserve">5. Capacitación previa o simultánea al ingreso</w:t>
      </w:r>
    </w:p>
    <w:p>
      <w:pPr>
        <w:jc w:val="both"/>
      </w:pPr>
      <w:r>
        <w:t xml:space="preserve">El personal de atención al público o de administración de recursos recibe capacitación </w:t>
      </w:r>
      <w:r>
        <w:rPr>
          <w:b/>
        </w:rPr>
        <w:t xml:space="preserve">previa o simultánea</w:t>
      </w:r>
      <w:r>
        <w:t xml:space="preserve"> a su ingreso, antes de participar en la identificación de Clientes o en cualquier acto regulado por el Manual de Políticas Internas.</w:t>
      </w:r>
    </w:p>
    <w:p>
      <w:pPr>
        <w:pStyle w:val="Heading1"/>
        <w:keepNext/>
      </w:pPr>
      <w:r>
        <w:t xml:space="preserve">6. Programa anual de capacitación (Cap. XII, arts. 39 a 39 Bis 1)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91"/>
        <w:gridCol w:w="6747"/>
      </w:tblGrid>
      <w:tr>
        <w:trPr>
          <w:cantSplit/>
          <w:tblHeader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Requisito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Contenido mínimo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Destinatarios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Titular, directivos, funcionarios, Representante Encargado de Cumplimiento y personal de atención al público o que participe en identificación, envío de Avisos o auditoría.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Periodicidad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Cursos, talleres o programas </w:t>
            </w:r>
            <w:r>
              <w:rPr>
                <w:b/>
                <w:sz w:val="19"/>
              </w:rPr>
              <w:t xml:space="preserve">al menos una vez al año</w:t>
            </w:r>
            <w:r>
              <w:rPr>
                <w:sz w:val="19"/>
              </w:rPr>
              <w:t xml:space="preserve">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Contenido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Ley, Reglamento, Reglas y Resoluciones de formatos; el Manual de Políticas Internas; los actos u operaciones del art. 17; los riesgos identificados en la metodología; técnicas y tendencias de detección del art. 400 Bis del Código Penal Federal.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Instructor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Debe acreditar </w:t>
            </w:r>
            <w:r>
              <w:rPr>
                <w:b/>
                <w:sz w:val="19"/>
              </w:rPr>
              <w:t xml:space="preserve">al menos cinco años</w:t>
            </w:r>
            <w:r>
              <w:rPr>
                <w:sz w:val="19"/>
              </w:rPr>
              <w:t xml:space="preserve"> de experiencia en prevención de lavado de dinero.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Evaluación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Obligatoria</w:t>
            </w:r>
            <w:r>
              <w:rPr>
                <w:sz w:val="19"/>
              </w:rPr>
              <w:t xml:space="preserve"> para expedir constancias. Quien no apruebe: </w:t>
            </w:r>
            <w:r>
              <w:rPr>
                <w:i/>
                <w:color w:val="7A5200"/>
                <w:highlight w:val="yellow"/>
                <w:sz w:val="19"/>
              </w:rPr>
              <w:t xml:space="preserve">[repetición del curso, restricción temporal de funciones de atención al público, reevaluación]</w:t>
            </w:r>
            <w:r>
              <w:rPr>
                <w:sz w:val="19"/>
              </w:rPr>
              <w:t xml:space="preserve">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Conservación de evidencia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Programas, materiales, listas de asistencia, evaluaciones y constancias, </w:t>
            </w:r>
            <w:r>
              <w:rPr>
                <w:b/>
                <w:sz w:val="19"/>
              </w:rPr>
              <w:t xml:space="preserve">10 años</w:t>
            </w:r>
            <w:r>
              <w:rPr>
                <w:sz w:val="19"/>
              </w:rPr>
              <w:t xml:space="preserve">.</w:t>
            </w:r>
          </w:p>
        </w:tc>
      </w:tr>
    </w:tbl>
    <w:p/>
    <w:p>
      <w:pPr>
        <w:shd w:val="clear" w:color="auto" w:fill="F1F5F9"/>
        <w:pBdr>
          <w:left w:val="single" w:sz="18" w:space="8" w:color="056DFE"/>
        </w:pBdr>
        <w:ind w:left="180"/>
        <w:jc w:val="both"/>
      </w:pPr>
      <w:r>
        <w:rPr>
          <w:b/>
        </w:rPr>
        <w:t xml:space="preserve">Primer periodo:</w:t>
      </w:r>
      <w:r>
        <w:t xml:space="preserve"> del 1 de enero al 31 de diciembre de 2027 (Transitorio Séptimo).</w:t>
      </w:r>
    </w:p>
    <w:p>
      <w:pPr>
        <w:pStyle w:val="Heading1"/>
        <w:keepNext/>
      </w:pPr>
      <w:r>
        <w:t xml:space="preserve">7. Bitácora de capacitación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cantSplit/>
          <w:tblHeader/>
        </w:trPr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Tema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Instructor (5+ años acreditados)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Asistentes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Calificación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Constancia</w:t>
            </w:r>
          </w:p>
        </w:tc>
      </w:tr>
      <w:tr>
        <w:trPr>
          <w:cantSplit/>
        </w:trPr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606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pStyle w:val="Heading1"/>
        <w:keepNext/>
      </w:pPr>
      <w:r>
        <w:t xml:space="preserve">8. Bitácora de contrataciones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928"/>
        <w:gridCol w:w="1928"/>
        <w:gridCol w:w="1928"/>
        <w:gridCol w:w="1928"/>
        <w:gridCol w:w="1928"/>
      </w:tblGrid>
      <w:tr>
        <w:trPr>
          <w:cantSplit/>
          <w:tblHeader/>
        </w:trPr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 de ingreso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Nombre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Puesto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Declaración firmada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Capacitación previa</w:t>
            </w:r>
          </w:p>
        </w:tc>
      </w:tr>
      <w:tr>
        <w:trPr>
          <w:cantSplit/>
        </w:trPr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Sí ☐ No ☐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Sí ☐ No ☐</w:t>
            </w:r>
          </w:p>
        </w:tc>
      </w:tr>
      <w:tr>
        <w:trPr>
          <w:cantSplit/>
        </w:trPr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Sí ☐ No ☐</w:t>
            </w:r>
          </w:p>
        </w:tc>
        <w:tc>
          <w:tcPr>
            <w:tcW w:w="1928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Sí ☐ No ☐</w:t>
            </w:r>
          </w:p>
        </w:tc>
      </w:tr>
    </w:tbl>
    <w:p/>
    <w:p>
      <w:pPr>
        <w:pBdr>
          <w:bottom w:val="single" w:sz="6" w:space="1" w:color="CBD5E1"/>
        </w:pBdr>
      </w:pPr>
    </w:p>
    <w:p>
      <w:pPr>
        <w:jc w:val="both"/>
      </w:pPr>
      <w:r>
        <w:rPr>
          <w:color w:val="64748B"/>
          <w:sz w:val="18"/>
        </w:rPr>
        <w:t xml:space="preserve">Plantilla elaborada por </w:t>
      </w:r>
      <w:r>
        <w:rPr>
          <w:b/>
          <w:color w:val="64748B"/>
          <w:sz w:val="18"/>
        </w:rPr>
        <w:t xml:space="preserve">Nuvigant</w:t>
      </w:r>
      <w:r>
        <w:rPr>
          <w:color w:val="64748B"/>
          <w:sz w:val="18"/>
        </w:rPr>
        <w:t xml:space="preserve"> con base en el Acuerdo 115/2026 publicado en el Diario Oficial de la Federación el 7 de agosto de 2026 (</w:t>
      </w:r>
      <w:hyperlink r:id="rIdLink0">
        <w:r>
          <w:rPr>
            <w:color w:val="056DFE"/>
            <w:u w:val="single"/>
            <w:sz w:val="18"/>
          </w:rPr>
          <w:t xml:space="preserve">dof.gob.mx</w:t>
        </w:r>
      </w:hyperlink>
      <w:r>
        <w:rPr>
          <w:color w:val="64748B"/>
          <w:sz w:val="18"/>
        </w:rPr>
        <w:t xml:space="preserve">). Documento de uso libre para fines de cumplimiento interno; no constituye asesoría jurídica ni laboral. </w:t>
      </w:r>
      <w:hyperlink r:id="rIdLink1">
        <w:r>
          <w:rPr>
            <w:color w:val="056DFE"/>
            <w:u w:val="single"/>
            <w:sz w:val="18"/>
          </w:rPr>
          <w:t xml:space="preserve">nuvigant.com</w:t>
        </w:r>
      </w:hyperlink>
    </w:p>
    <w:sectPr>
      <w:pgSz w:w="11906" w:h="16838"/>
      <w:pgMar w:top="1134" w:right="1134" w:bottom="1134" w:left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ind w:left="454" w:hanging="284"/>
      </w:pPr>
      <w:rPr>
        <w:rFonts w:ascii="Segoe UI Symbol" w:hAnsi="Segoe UI Symbol" w:hint="default"/>
      </w:rPr>
    </w:lvl>
  </w:abstractNum>
  <w:abstractNum w:abstractNumId="1">
    <w:multiLevelType w:val="singleLevel"/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  <w:lang w:val="es-MX"/>
      </w:rPr>
    </w:rPrDefault>
    <w:pPrDefault>
      <w:pPr>
        <w:spacing w:after="140" w:line="288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spacing w:before="0" w:after="140"/>
      <w:outlineLvl w:val="0"/>
      <w:jc w:val="left"/>
    </w:pPr>
    <w:rPr>
      <w:rFonts w:ascii="Segoe UI" w:hAnsi="Segoe UI"/>
      <w:b/>
      <w:color w:val="0F172A"/>
      <w:sz w:val="48"/>
    </w:rPr>
  </w:style>
  <w:style w:type="paragraph" w:styleId="Heading1">
    <w:name w:val="heading 1"/>
    <w:basedOn w:val="Normal"/>
    <w:next w:val="Normal"/>
    <w:qFormat/>
    <w:pPr>
      <w:keepNext/>
      <w:spacing w:before="0" w:after="140"/>
      <w:outlineLvl w:val="0"/>
      <w:pBdr>
        <w:bottom w:val="single" w:sz="12" w:space="4" w:color="056DFE"/>
      </w:pBdr>
      <w:jc w:val="left"/>
    </w:pPr>
    <w:rPr>
      <w:rFonts w:ascii="Segoe UI" w:hAnsi="Segoe UI"/>
      <w:b/>
      <w:color w:val="0B3D91"/>
      <w:sz w:val="30"/>
    </w:rPr>
  </w:style>
  <w:style w:type="paragraph" w:styleId="Heading2">
    <w:name w:val="heading 2"/>
    <w:basedOn w:val="Normal"/>
    <w:next w:val="Normal"/>
    <w:qFormat/>
    <w:pPr>
      <w:keepNext/>
      <w:spacing w:before="320" w:after="140"/>
      <w:outlineLvl w:val="1"/>
      <w:jc w:val="left"/>
    </w:pPr>
    <w:rPr>
      <w:rFonts w:ascii="Segoe UI" w:hAnsi="Segoe UI"/>
      <w:b/>
      <w:color w:val="0F172A"/>
      <w:sz w:val="25"/>
    </w:rPr>
  </w:style>
  <w:style w:type="paragraph" w:styleId="Heading3">
    <w:name w:val="heading 3"/>
    <w:basedOn w:val="Normal"/>
    <w:next w:val="Normal"/>
    <w:qFormat/>
    <w:pPr>
      <w:keepNext/>
      <w:spacing w:before="320" w:after="140"/>
      <w:outlineLvl w:val="2"/>
      <w:jc w:val="left"/>
    </w:pPr>
    <w:rPr>
      <w:rFonts w:ascii="Segoe UI" w:hAnsi="Segoe UI"/>
      <w:b/>
      <w:color w:val="0F172A"/>
      <w:sz w:val="22"/>
    </w:rPr>
  </w:style>
</w:styles>
</file>

<file path=word/_rels/document.xml.rels><?xml version="1.0" encoding="UTF-8" standalone="yes"?>
<Relationships xmlns="http://schemas.openxmlformats.org/package/2006/relationships">
<Relationship Id="rIdStyles" Type="http://schemas.openxmlformats.org/officeDocument/2006/relationships/styles" Target="styles.xml"/>
<Relationship Id="rIdNumbering" Type="http://schemas.openxmlformats.org/officeDocument/2006/relationships/numbering" Target="numbering.xml"/>
<Relationship Id="rIdLink0" Type="http://schemas.openxmlformats.org/officeDocument/2006/relationships/hyperlink" Target="https://dof.gob.mx/nota_detalle.php?codigo=5795797&amp;amp;fecha=07/08/2026" TargetMode="External"/>
<Relationship Id="rIdLink1" Type="http://schemas.openxmlformats.org/officeDocument/2006/relationships/hyperlink" Target="https://nuvigant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Nuvigant</Application>
  <Company>Nuvigant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Manual de Selección, Contratación y Capacitación de Personal — LFPIORPI 2026</dc:title>
  <dc:creator>Nuvigant</dc:creator>
  <cp:lastModifiedBy>Nuvigant</cp:lastModifiedBy>
  <dc:description>Procedimientos de selección de personal, declaración de honorabilidad y programa de capacitación del Cap. XII de las Reglas de Carácter General de la LFPIORPI (Acuerdo 115/2026, DOF 07/08/2026).</dc:description>
  <cp:revision>1</cp:revision>
</cp:coreProperties>
</file>