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left"/>
      </w:pPr>
      <w:r>
        <w:rPr>
          <w:b/>
          <w:color w:val="056DFE"/>
          <w:sz w:val="18"/>
        </w:rPr>
        <w:t xml:space="preserve">Prevención de Lavado de Dinero · Cap. II Quáter, arts. 10 Septies a 10 Septies 6</w:t>
      </w:r>
    </w:p>
    <w:p>
      <w:pPr>
        <w:pStyle w:val="Title"/>
        <w:keepNext/>
      </w:pPr>
      <w:r>
        <w:t xml:space="preserve">Metodología y Matriz de Evaluación de Riesgos</w:t>
      </w:r>
    </w:p>
    <w:p>
      <w:pPr>
        <w:jc w:val="left"/>
      </w:pPr>
      <w:r>
        <w:t xml:space="preserve">Documento de trabajo para diseñar, medir, mitigar y actualizar la metodología de evaluación de riesgos exigida por las Reglas de Carácter General de la LFPIORPI, reformadas por el </w:t>
      </w:r>
      <w:r>
        <w:rPr>
          <w:b/>
        </w:rPr>
        <w:t xml:space="preserve">Acuerdo 115/2026</w:t>
      </w:r>
      <w:r>
        <w:t xml:space="preserve"> (DOF 7 de agosto de 2026). Se incorpora como anexo del Manual de Políticas Internas conforme al artículo 37 Bis, fracción II.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3277"/>
        <w:gridCol w:w="6361"/>
      </w:tblGrid>
      <w:tr>
        <w:trPr>
          <w:cantSplit/>
          <w:tblHeader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Sujeto obligado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[Nombre del Notario / Notaría Pública No. __ del Estado de ______]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Periodo de datos analizado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[mínimo 12 meses — número de Clientes, número de operaciones y monto operado]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Versión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[1.0]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Fecha de elaboración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[DD/MM/AAAA]</w:t>
            </w:r>
          </w:p>
        </w:tc>
      </w:tr>
      <w:tr>
        <w:trPr>
          <w:cantSplit/>
        </w:trPr>
        <w:tc>
          <w:tcPr>
            <w:tcW w:w="327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Próxima revisión obligatoria</w:t>
            </w:r>
          </w:p>
        </w:tc>
        <w:tc>
          <w:tcPr>
            <w:tcW w:w="636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[DD/MM/AAAA — plazo máximo 12 meses]</w:t>
            </w:r>
          </w:p>
        </w:tc>
      </w:tr>
    </w:tbl>
    <w:p/>
    <w:p>
      <w:pPr>
        <w:shd w:val="clear" w:color="auto" w:fill="FFFBEB"/>
        <w:pBdr>
          <w:left w:val="single" w:sz="18" w:space="8" w:color="D97706"/>
        </w:pBdr>
        <w:ind w:left="180"/>
        <w:jc w:val="both"/>
      </w:pPr>
      <w:r>
        <w:rPr>
          <w:b/>
          <w:color w:val="78350F"/>
        </w:rPr>
        <w:t xml:space="preserve">Aviso sobre el uso de esta plantilla.</w:t>
      </w:r>
      <w:r>
        <w:rPr>
          <w:color w:val="78350F"/>
        </w:rPr>
        <w:t xml:space="preserve"> Modelo de referencia elaborado por Nuvigant. No constituye asesoría jurídica. El artículo 10 Septies exige que la metodología refleje los riesgos reales a los que está expuesta cada notaría: los campos en </w:t>
      </w:r>
      <w:r>
        <w:rPr>
          <w:i/>
          <w:color w:val="7A5200"/>
          <w:highlight w:val="yellow"/>
        </w:rPr>
        <w:t xml:space="preserve">amarillo</w:t>
      </w:r>
      <w:r>
        <w:rPr>
          <w:color w:val="78350F"/>
        </w:rPr>
        <w:t xml:space="preserve"> deben completarse con información propia antes de incorporar este documento al Manual de Políticas Internas.</w:t>
      </w:r>
    </w:p>
    <w:p>
      <w:pPr>
        <w:pStyle w:val="Heading1"/>
        <w:keepNext/>
      </w:pPr>
      <w:r>
        <w:t xml:space="preserve">1. Objeto y fundamento</w:t>
      </w:r>
    </w:p>
    <w:p>
      <w:pPr>
        <w:jc w:val="both"/>
      </w:pPr>
      <w:r>
        <w:t xml:space="preserve">Diseñar, documentar e implementar una metodología propia que identifique, analice, mida y mitigue los riesgos de operaciones con recursos de procedencia ilícita y de financiamiento al terrorismo a los que está expuesta la Notaría, considerando como mínimo cuatro elementos de riesgo.</w:t>
      </w:r>
    </w:p>
    <w:p>
      <w:pPr>
        <w:numPr>
          <w:ilvl w:val="0"/>
          <w:numId w:val="1"/>
        </w:numPr>
        <w:spacing w:after="60"/>
        <w:jc w:val="both"/>
      </w:pPr>
      <w:r>
        <w:t xml:space="preserve">Los actos u operaciones que realiza la Notaría.</w:t>
      </w:r>
    </w:p>
    <w:p>
      <w:pPr>
        <w:numPr>
          <w:ilvl w:val="0"/>
          <w:numId w:val="1"/>
        </w:numPr>
        <w:spacing w:after="60"/>
        <w:jc w:val="both"/>
      </w:pPr>
      <w:r>
        <w:t xml:space="preserve">El tipo de Cliente o Usuario.</w:t>
      </w:r>
    </w:p>
    <w:p>
      <w:pPr>
        <w:numPr>
          <w:ilvl w:val="0"/>
          <w:numId w:val="1"/>
        </w:numPr>
        <w:spacing w:after="60"/>
        <w:jc w:val="both"/>
      </w:pPr>
      <w:r>
        <w:t xml:space="preserve">Los países y áreas geográficas involucrados.</w:t>
      </w:r>
    </w:p>
    <w:p>
      <w:pPr>
        <w:numPr>
          <w:ilvl w:val="0"/>
          <w:numId w:val="1"/>
        </w:numPr>
        <w:spacing w:after="60"/>
        <w:jc w:val="both"/>
      </w:pPr>
      <w:r>
        <w:t xml:space="preserve">Las transacciones y los canales de envío o distribución.</w:t>
      </w:r>
    </w:p>
    <w:p>
      <w:pPr>
        <w:pStyle w:val="Heading1"/>
        <w:keepNext/>
      </w:pPr>
      <w:r>
        <w:t xml:space="preserve">2. Matriz de elementos de riesgo</w:t>
      </w:r>
    </w:p>
    <w:p>
      <w:pPr>
        <w:jc w:val="both"/>
      </w:pPr>
      <w:r>
        <w:t xml:space="preserve">A cada elemento se le asignan indicadores y a cada indicador un </w:t>
      </w:r>
      <w:r>
        <w:rPr>
          <w:b/>
        </w:rPr>
        <w:t xml:space="preserve">valor numérico</w:t>
      </w:r>
      <w:r>
        <w:t xml:space="preserve">. El riesgo inherente resulta de ponderar esos valores; el riesgo residual descuenta el efecto de los mitigantes ya implementados.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1735"/>
        <w:gridCol w:w="2313"/>
        <w:gridCol w:w="964"/>
        <w:gridCol w:w="964"/>
        <w:gridCol w:w="2313"/>
        <w:gridCol w:w="1349"/>
      </w:tblGrid>
      <w:tr>
        <w:trPr>
          <w:cantSplit/>
          <w:tblHeader/>
        </w:trPr>
        <w:tc>
          <w:tcPr>
            <w:tcW w:w="1735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Elemento de riesgo</w:t>
            </w:r>
          </w:p>
        </w:tc>
        <w:tc>
          <w:tcPr>
            <w:tcW w:w="2313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Indicadores</w:t>
            </w:r>
          </w:p>
        </w:tc>
        <w:tc>
          <w:tcPr>
            <w:tcW w:w="964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Valor (1–5)</w:t>
            </w:r>
          </w:p>
        </w:tc>
        <w:tc>
          <w:tcPr>
            <w:tcW w:w="964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Ponderación</w:t>
            </w:r>
          </w:p>
        </w:tc>
        <w:tc>
          <w:tcPr>
            <w:tcW w:w="2313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Mitigante implementado</w:t>
            </w:r>
          </w:p>
        </w:tc>
        <w:tc>
          <w:tcPr>
            <w:tcW w:w="134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Efecto del mitigante</w:t>
            </w:r>
          </w:p>
        </w:tc>
      </w:tr>
      <w:tr>
        <w:trPr>
          <w:cantSplit/>
        </w:trPr>
        <w:tc>
          <w:tcPr>
            <w:tcW w:w="1735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Actos u operaciones</w:t>
            </w:r>
          </w:p>
        </w:tc>
        <w:tc>
          <w:tcPr>
            <w:tcW w:w="2313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[Compraventa, constitución de sociedades, poderes, fideicomisos, testamentos…]</w:t>
            </w:r>
          </w:p>
        </w:tc>
        <w:tc>
          <w:tcPr>
            <w:tcW w:w="964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964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2313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[Ej. verificación notarial de origen de recursos]</w:t>
            </w:r>
          </w:p>
        </w:tc>
        <w:tc>
          <w:tcPr>
            <w:tcW w:w="134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1735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Tipo de Cliente</w:t>
            </w:r>
          </w:p>
        </w:tc>
        <w:tc>
          <w:tcPr>
            <w:tcW w:w="2313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[Persona física, moral, fideicomiso, PEP, no residente…]</w:t>
            </w:r>
          </w:p>
        </w:tc>
        <w:tc>
          <w:tcPr>
            <w:tcW w:w="964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964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2313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[Ej. consulta obligatoria de listas y PEP 2.0]</w:t>
            </w:r>
          </w:p>
        </w:tc>
        <w:tc>
          <w:tcPr>
            <w:tcW w:w="134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1735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País / área geográfica</w:t>
            </w:r>
          </w:p>
        </w:tc>
        <w:tc>
          <w:tcPr>
            <w:tcW w:w="2313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[Entidad, zona de alta incidencia, jurisdicción listada por la UIF…]</w:t>
            </w:r>
          </w:p>
        </w:tc>
        <w:tc>
          <w:tcPr>
            <w:tcW w:w="964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964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2313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[Ej. diligencia reforzada geográfica]</w:t>
            </w:r>
          </w:p>
        </w:tc>
        <w:tc>
          <w:tcPr>
            <w:tcW w:w="134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1735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Transacciones y canales</w:t>
            </w:r>
          </w:p>
        </w:tc>
        <w:tc>
          <w:tcPr>
            <w:tcW w:w="2313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[Efectivo, transferencia, cheque, metales preciosos, canal remoto…]</w:t>
            </w:r>
          </w:p>
        </w:tc>
        <w:tc>
          <w:tcPr>
            <w:tcW w:w="964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964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2313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[Ej. límite de efectivo conforme al art. 32 de la Ley]</w:t>
            </w:r>
          </w:p>
        </w:tc>
        <w:tc>
          <w:tcPr>
            <w:tcW w:w="134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</w:tbl>
    <w:p/>
    <w:p>
      <w:pPr>
        <w:pStyle w:val="Heading1"/>
        <w:keepNext/>
      </w:pPr>
      <w:r>
        <w:t xml:space="preserve">3. Insumos obligatorios</w:t>
      </w:r>
    </w:p>
    <w:p>
      <w:pPr>
        <w:numPr>
          <w:ilvl w:val="0"/>
          <w:numId w:val="2"/>
        </w:numPr>
        <w:spacing w:after="60"/>
        <w:jc w:val="both"/>
      </w:pPr>
      <w:r>
        <w:t xml:space="preserve">Indicadores específicos de los delitos previstos en los </w:t>
      </w:r>
      <w:r>
        <w:rPr>
          <w:b/>
        </w:rPr>
        <w:t xml:space="preserve">artículos 139 Quáter y 400 Bis</w:t>
      </w:r>
      <w:r>
        <w:t xml:space="preserve"> del Código Penal Federal.</w:t>
      </w:r>
    </w:p>
    <w:p>
      <w:pPr>
        <w:numPr>
          <w:ilvl w:val="0"/>
          <w:numId w:val="2"/>
        </w:numPr>
        <w:spacing w:after="60"/>
        <w:jc w:val="both"/>
      </w:pPr>
      <w:r>
        <w:t xml:space="preserve">Alineación a la </w:t>
      </w:r>
      <w:r>
        <w:rPr>
          <w:b/>
        </w:rPr>
        <w:t xml:space="preserve">Evaluación Nacional de Riesgos</w:t>
      </w:r>
      <w:r>
        <w:t xml:space="preserve"> (ENR) de la UIF y a sus actualizaciones.</w:t>
      </w:r>
    </w:p>
    <w:p>
      <w:pPr>
        <w:numPr>
          <w:ilvl w:val="0"/>
          <w:numId w:val="2"/>
        </w:numPr>
        <w:spacing w:after="60"/>
        <w:jc w:val="both"/>
      </w:pPr>
      <w:r>
        <w:t xml:space="preserve">Al menos </w:t>
      </w:r>
      <w:r>
        <w:rPr>
          <w:b/>
        </w:rPr>
        <w:t xml:space="preserve">12 meses</w:t>
      </w:r>
      <w:r>
        <w:t xml:space="preserve"> de datos reales; sin operaciones, se usan datos proyectados y se actualiza al cumplirse el año.</w:t>
      </w:r>
    </w:p>
    <w:p>
      <w:pPr>
        <w:numPr>
          <w:ilvl w:val="0"/>
          <w:numId w:val="2"/>
        </w:numPr>
        <w:spacing w:after="60"/>
        <w:jc w:val="both"/>
      </w:pPr>
      <w:r>
        <w:t xml:space="preserve">Consistencia con la información de los mecanismos automatizados: número de Clientes, número de operaciones y monto operado deben coincidir con los reportes del sistema utilizado para el control de expedientes y alertas.</w:t>
      </w:r>
    </w:p>
    <w:p>
      <w:pPr>
        <w:pStyle w:val="Heading1"/>
        <w:keepNext/>
      </w:pPr>
      <w:r>
        <w:t xml:space="preserve">4. Cálculo del riesgo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891"/>
        <w:gridCol w:w="6747"/>
      </w:tblGrid>
      <w:tr>
        <w:trPr>
          <w:cantSplit/>
          <w:tblHeader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Concepto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Fórmula sugerida</w:t>
            </w:r>
          </w:p>
        </w:tc>
      </w:tr>
      <w:tr>
        <w:trPr>
          <w:cantSplit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Riesgo inherente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Σ (valor del indicador × ponderación del elemento), por cada uno de los cuatro elementos de riesgo.</w:t>
            </w:r>
          </w:p>
        </w:tc>
      </w:tr>
      <w:tr>
        <w:trPr>
          <w:cantSplit/>
        </w:trPr>
        <w:tc>
          <w:tcPr>
            <w:tcW w:w="2891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Riesgo residual</w:t>
            </w:r>
          </w:p>
        </w:tc>
        <w:tc>
          <w:tcPr>
            <w:tcW w:w="674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</w:tcPr>
          <w:p>
            <w:pPr>
              <w:spacing w:before="40" w:after="40"/>
            </w:pPr>
            <w:r>
              <w:rPr>
                <w:sz w:val="19"/>
              </w:rPr>
              <w:t xml:space="preserve">Riesgo inherente − efecto acumulado de los mitigantes ya implementados y documentados en la matriz del apartado 2.</w:t>
            </w:r>
          </w:p>
        </w:tc>
      </w:tr>
    </w:tbl>
    <w:p/>
    <w:p>
      <w:pPr>
        <w:jc w:val="both"/>
      </w:pPr>
      <w:r>
        <w:rPr>
          <w:i/>
          <w:color w:val="64748B"/>
          <w:sz w:val="19"/>
        </w:rPr>
        <w:t xml:space="preserve">El resultado de este cálculo alimenta directamente la clasificación de cada Cliente por grado de riesgo (véase el documento «Ficha y Matriz de Clasificación de Clientes por Grado de Riesgo»).</w:t>
      </w:r>
    </w:p>
    <w:p>
      <w:pPr>
        <w:pStyle w:val="Heading1"/>
        <w:keepNext/>
      </w:pPr>
      <w:r>
        <w:t xml:space="preserve">5. Revisión, actualización y conservación</w:t>
      </w:r>
    </w:p>
    <w:p>
      <w:pPr>
        <w:numPr>
          <w:ilvl w:val="0"/>
          <w:numId w:val="3"/>
        </w:numPr>
        <w:spacing w:after="60"/>
        <w:jc w:val="both"/>
      </w:pPr>
      <w:r>
        <w:t xml:space="preserve">Revisión y actualización al detectar nuevos riesgos, al actualizarse la ENR, o en un plazo </w:t>
      </w:r>
      <w:r>
        <w:rPr>
          <w:b/>
        </w:rPr>
        <w:t xml:space="preserve">no mayor a 12 meses</w:t>
      </w:r>
      <w:r>
        <w:t xml:space="preserve">.</w:t>
      </w:r>
    </w:p>
    <w:p>
      <w:pPr>
        <w:numPr>
          <w:ilvl w:val="0"/>
          <w:numId w:val="3"/>
        </w:numPr>
        <w:spacing w:after="60"/>
        <w:jc w:val="both"/>
      </w:pPr>
      <w:r>
        <w:t xml:space="preserve">Las modificaciones a políticas derivadas de los resultados se implementan en un plazo </w:t>
      </w:r>
      <w:r>
        <w:rPr>
          <w:b/>
        </w:rPr>
        <w:t xml:space="preserve">no mayor a 12 meses</w:t>
      </w:r>
      <w:r>
        <w:t xml:space="preserve">.</w:t>
      </w:r>
    </w:p>
    <w:p>
      <w:pPr>
        <w:numPr>
          <w:ilvl w:val="0"/>
          <w:numId w:val="3"/>
        </w:numPr>
        <w:spacing w:after="60"/>
        <w:jc w:val="both"/>
      </w:pPr>
      <w:r>
        <w:t xml:space="preserve">Toda la metodología y sus resultados constan </w:t>
      </w:r>
      <w:r>
        <w:rPr>
          <w:b/>
        </w:rPr>
        <w:t xml:space="preserve">por escrito</w:t>
      </w:r>
      <w:r>
        <w:t xml:space="preserve"> y se mantienen a disposición del SAT.</w:t>
      </w:r>
    </w:p>
    <w:p>
      <w:pPr>
        <w:numPr>
          <w:ilvl w:val="0"/>
          <w:numId w:val="3"/>
        </w:numPr>
        <w:spacing w:after="60"/>
        <w:jc w:val="both"/>
      </w:pPr>
      <w:r>
        <w:rPr>
          <w:b/>
        </w:rPr>
        <w:t xml:space="preserve">Conservación: 10 años.</w:t>
      </w:r>
    </w:p>
    <w:p>
      <w:pPr>
        <w:numPr>
          <w:ilvl w:val="0"/>
          <w:numId w:val="3"/>
        </w:numPr>
        <w:spacing w:after="60"/>
        <w:jc w:val="both"/>
      </w:pPr>
      <w:r>
        <w:t xml:space="preserve">Antes de implementar nuevos medios, canales, modalidades, productos o servicios, o de dirigirse a nuevos tipos de Cliente, se evalúan previamente los riesgos correspondientes.</w:t>
      </w:r>
    </w:p>
    <w:p>
      <w:pPr>
        <w:numPr>
          <w:ilvl w:val="0"/>
          <w:numId w:val="3"/>
        </w:numPr>
        <w:spacing w:after="60"/>
        <w:jc w:val="both"/>
      </w:pPr>
      <w:r>
        <w:t xml:space="preserve">Si el SAT señala ajustes a la metodología o a los mitigantes, se formula y ejecuta un </w:t>
      </w:r>
      <w:r>
        <w:rPr>
          <w:b/>
        </w:rPr>
        <w:t xml:space="preserve">plan de acción con medidas reforzadas</w:t>
      </w:r>
      <w:r>
        <w:t xml:space="preserve">.</w:t>
      </w:r>
    </w:p>
    <w:p>
      <w:pPr>
        <w:shd w:val="clear" w:color="auto" w:fill="F1F5F9"/>
        <w:pBdr>
          <w:left w:val="single" w:sz="18" w:space="8" w:color="056DFE"/>
        </w:pBdr>
        <w:ind w:left="180"/>
        <w:jc w:val="both"/>
      </w:pPr>
      <w:r>
        <w:rPr>
          <w:b/>
        </w:rPr>
        <w:t xml:space="preserve">Plazo.</w:t>
      </w:r>
      <w:r>
        <w:t xml:space="preserve"> La metodología debe estar a disposición de la autoridad a partir del </w:t>
      </w:r>
      <w:r>
        <w:rPr>
          <w:b/>
        </w:rPr>
        <w:t xml:space="preserve">1 de marzo de 2027</w:t>
      </w:r>
      <w:r>
        <w:t xml:space="preserve">, con información del año inmediato anterior, e incorporada al Manual de Políticas Internas a esa misma fecha.</w:t>
      </w:r>
    </w:p>
    <w:p>
      <w:pPr>
        <w:pStyle w:val="Heading1"/>
        <w:keepNext/>
      </w:pPr>
      <w:r>
        <w:t xml:space="preserve">6. Bitácora de revisiones</w:t>
      </w:r>
    </w:p>
    <w:tbl>
      <w:tblPr>
        <w:tblW w:w="9638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1157"/>
        <w:gridCol w:w="1542"/>
        <w:gridCol w:w="4819"/>
        <w:gridCol w:w="2120"/>
      </w:tblGrid>
      <w:tr>
        <w:trPr>
          <w:cantSplit/>
          <w:tblHeader/>
        </w:trPr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Versión</w:t>
            </w:r>
          </w:p>
        </w:tc>
        <w:tc>
          <w:tcPr>
            <w:tcW w:w="154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Fecha</w:t>
            </w:r>
          </w:p>
        </w:tc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Motivo del cambio / nuevo riesgo detectado</w:t>
            </w:r>
          </w:p>
        </w:tc>
        <w:tc>
          <w:tcPr>
            <w:tcW w:w="2120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sz w:val="19"/>
              </w:rPr>
              <w:t xml:space="preserve">Aprobó</w:t>
            </w:r>
          </w:p>
        </w:tc>
      </w:tr>
      <w:tr>
        <w:trPr>
          <w:cantSplit/>
        </w:trPr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1.0</w:t>
            </w:r>
          </w:p>
        </w:tc>
        <w:tc>
          <w:tcPr>
            <w:tcW w:w="154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[DD/MM/AAAA]</w:t>
            </w:r>
          </w:p>
        </w:tc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[Emisión inicial]</w:t>
            </w:r>
          </w:p>
        </w:tc>
        <w:tc>
          <w:tcPr>
            <w:tcW w:w="2120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i/>
                <w:color w:val="7A5200"/>
                <w:highlight w:val="yellow"/>
                <w:sz w:val="19"/>
              </w:rPr>
              <w:t xml:space="preserve">[Nombre]</w:t>
            </w:r>
          </w:p>
        </w:tc>
      </w:tr>
      <w:tr>
        <w:trPr>
          <w:cantSplit/>
        </w:trPr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54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2120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  <w:tr>
        <w:trPr>
          <w:cantSplit/>
        </w:trPr>
        <w:tc>
          <w:tcPr>
            <w:tcW w:w="1157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542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4819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2120" w:type="dx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shd w:val="clear" w:color="auto" w:fill="FCFDFF"/>
          </w:tcPr>
          <w:p>
            <w:pPr>
              <w:spacing w:before="40" w:after="40"/>
            </w:pPr>
            <w:r>
              <w:rPr>
                <w:sz w:val="19"/>
              </w:rPr>
              <w:t xml:space="preserve"> </w:t>
            </w:r>
          </w:p>
        </w:tc>
      </w:tr>
    </w:tbl>
    <w:p/>
    <w:p/>
    <w:p>
      <w:pPr>
        <w:pBdr>
          <w:top w:val="single" w:sz="6" w:space="4" w:color="0F172A"/>
        </w:pBdr>
        <w:spacing w:before="360"/>
      </w:pPr>
      <w:r>
        <w:t xml:space="preserve">Titular de la Notaría</w:t>
      </w:r>
      <w:r>
        <w:br/>
      </w:r>
      <w:r>
        <w:rPr>
          <w:i/>
          <w:color w:val="7A5200"/>
          <w:highlight w:val="yellow"/>
        </w:rPr>
        <w:t xml:space="preserve">[Nombre y firma]</w:t>
      </w:r>
    </w:p>
    <w:p/>
    <w:p>
      <w:pPr>
        <w:pBdr>
          <w:top w:val="single" w:sz="6" w:space="4" w:color="0F172A"/>
        </w:pBdr>
        <w:spacing w:before="360"/>
      </w:pPr>
      <w:r>
        <w:t xml:space="preserve">Representante Encargado de Cumplimiento</w:t>
      </w:r>
      <w:r>
        <w:br/>
      </w:r>
      <w:r>
        <w:rPr>
          <w:i/>
          <w:color w:val="7A5200"/>
          <w:highlight w:val="yellow"/>
        </w:rPr>
        <w:t xml:space="preserve">[Nombre y firma]</w:t>
      </w:r>
    </w:p>
    <w:p/>
    <w:p>
      <w:pPr>
        <w:pBdr>
          <w:bottom w:val="single" w:sz="6" w:space="1" w:color="CBD5E1"/>
        </w:pBdr>
      </w:pPr>
    </w:p>
    <w:p>
      <w:pPr>
        <w:jc w:val="both"/>
      </w:pPr>
      <w:r>
        <w:rPr>
          <w:color w:val="64748B"/>
          <w:sz w:val="18"/>
        </w:rPr>
        <w:t xml:space="preserve">Plantilla elaborada por </w:t>
      </w:r>
      <w:r>
        <w:rPr>
          <w:b/>
          <w:color w:val="64748B"/>
          <w:sz w:val="18"/>
        </w:rPr>
        <w:t xml:space="preserve">Nuvigant</w:t>
      </w:r>
      <w:r>
        <w:rPr>
          <w:color w:val="64748B"/>
          <w:sz w:val="18"/>
        </w:rPr>
        <w:t xml:space="preserve"> con base en el Acuerdo 115/2026 publicado en el Diario Oficial de la Federación el 7 de agosto de 2026 (</w:t>
      </w:r>
      <w:hyperlink r:id="rIdLink0">
        <w:r>
          <w:rPr>
            <w:color w:val="056DFE"/>
            <w:u w:val="single"/>
            <w:sz w:val="18"/>
          </w:rPr>
          <w:t xml:space="preserve">dof.gob.mx</w:t>
        </w:r>
      </w:hyperlink>
      <w:r>
        <w:rPr>
          <w:color w:val="64748B"/>
          <w:sz w:val="18"/>
        </w:rPr>
        <w:t xml:space="preserve">). Documento de uso libre para fines de cumplimiento interno; no constituye asesoría jurídica. </w:t>
      </w:r>
      <w:hyperlink r:id="rIdLink1">
        <w:r>
          <w:rPr>
            <w:color w:val="056DFE"/>
            <w:u w:val="single"/>
            <w:sz w:val="18"/>
          </w:rPr>
          <w:t xml:space="preserve">nuvigant.com</w:t>
        </w:r>
      </w:hyperlink>
    </w:p>
    <w:sectPr>
      <w:pgSz w:w="11906" w:h="16838"/>
      <w:pgMar w:top="1134" w:right="1134" w:bottom="1134" w:left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lvlText w:val="•"/>
      <w:lvlJc w:val="left"/>
      <w:pPr>
        <w:ind w:left="454" w:hanging="284"/>
      </w:pPr>
      <w:rPr>
        <w:rFonts w:ascii="Segoe UI Symbol" w:hAnsi="Segoe UI Symbol" w:hint="default"/>
      </w:rPr>
    </w:lvl>
  </w:abstractNum>
  <w:abstractNum w:abstractNumId="1">
    <w:multiLevelType w:val="singleLevel"/>
    <w:lvl w:ilvl="0">
      <w:start w:val="1"/>
      <w:numFmt w:val="decimal"/>
      <w:lvlText w:val="%1."/>
      <w:lvlJc w:val="left"/>
      <w:pPr>
        <w:ind w:left="454" w:hanging="284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  <w:lang w:val="es-MX"/>
      </w:rPr>
    </w:rPrDefault>
    <w:pPrDefault>
      <w:pPr>
        <w:spacing w:after="140" w:line="288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Normal"/>
    <w:qFormat/>
    <w:pPr>
      <w:keepNext/>
      <w:spacing w:before="0" w:after="140"/>
      <w:outlineLvl w:val="0"/>
      <w:jc w:val="left"/>
    </w:pPr>
    <w:rPr>
      <w:rFonts w:ascii="Segoe UI" w:hAnsi="Segoe UI"/>
      <w:b/>
      <w:color w:val="0F172A"/>
      <w:sz w:val="48"/>
    </w:rPr>
  </w:style>
  <w:style w:type="paragraph" w:styleId="Heading1">
    <w:name w:val="heading 1"/>
    <w:basedOn w:val="Normal"/>
    <w:next w:val="Normal"/>
    <w:qFormat/>
    <w:pPr>
      <w:keepNext/>
      <w:spacing w:before="0" w:after="140"/>
      <w:outlineLvl w:val="0"/>
      <w:pBdr>
        <w:bottom w:val="single" w:sz="12" w:space="4" w:color="056DFE"/>
      </w:pBdr>
      <w:jc w:val="left"/>
    </w:pPr>
    <w:rPr>
      <w:rFonts w:ascii="Segoe UI" w:hAnsi="Segoe UI"/>
      <w:b/>
      <w:color w:val="0B3D91"/>
      <w:sz w:val="30"/>
    </w:rPr>
  </w:style>
  <w:style w:type="paragraph" w:styleId="Heading2">
    <w:name w:val="heading 2"/>
    <w:basedOn w:val="Normal"/>
    <w:next w:val="Normal"/>
    <w:qFormat/>
    <w:pPr>
      <w:keepNext/>
      <w:spacing w:before="320" w:after="140"/>
      <w:outlineLvl w:val="1"/>
      <w:jc w:val="left"/>
    </w:pPr>
    <w:rPr>
      <w:rFonts w:ascii="Segoe UI" w:hAnsi="Segoe UI"/>
      <w:b/>
      <w:color w:val="0F172A"/>
      <w:sz w:val="25"/>
    </w:rPr>
  </w:style>
  <w:style w:type="paragraph" w:styleId="Heading3">
    <w:name w:val="heading 3"/>
    <w:basedOn w:val="Normal"/>
    <w:next w:val="Normal"/>
    <w:qFormat/>
    <w:pPr>
      <w:keepNext/>
      <w:spacing w:before="320" w:after="140"/>
      <w:outlineLvl w:val="2"/>
      <w:jc w:val="left"/>
    </w:pPr>
    <w:rPr>
      <w:rFonts w:ascii="Segoe UI" w:hAnsi="Segoe UI"/>
      <w:b/>
      <w:color w:val="0F172A"/>
      <w:sz w:val="22"/>
    </w:rPr>
  </w:style>
</w:styles>
</file>

<file path=word/_rels/document.xml.rels><?xml version="1.0" encoding="UTF-8" standalone="yes"?>
<Relationships xmlns="http://schemas.openxmlformats.org/package/2006/relationships">
<Relationship Id="rIdStyles" Type="http://schemas.openxmlformats.org/officeDocument/2006/relationships/styles" Target="styles.xml"/>
<Relationship Id="rIdNumbering" Type="http://schemas.openxmlformats.org/officeDocument/2006/relationships/numbering" Target="numbering.xml"/>
<Relationship Id="rIdLink0" Type="http://schemas.openxmlformats.org/officeDocument/2006/relationships/hyperlink" Target="https://dof.gob.mx/nota_detalle.php?codigo=5795797&amp;amp;fecha=07/08/2026" TargetMode="External"/>
<Relationship Id="rIdLink1" Type="http://schemas.openxmlformats.org/officeDocument/2006/relationships/hyperlink" Target="https://nuvigant.com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Nuvigant</Application>
  <Company>Nuvigant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Metodología y Matriz de Evaluación de Riesgos — LFPIORPI 2026</dc:title>
  <dc:creator>Nuvigant</dc:creator>
  <cp:lastModifiedBy>Nuvigant</cp:lastModifiedBy>
  <dc:description>Matriz editable para diseñar y documentar la metodología de riesgos del Cap. II Quáter de las Reglas de Carácter General de la LFPIORPI (Acuerdo 115/2026, DOF 07/08/2026).</dc:description>
  <cp:revision>1</cp:revision>
</cp:coreProperties>
</file>