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p>
      <w:pPr>
        <w:spacing w:after="280"/>
        <w:jc w:val="left"/>
      </w:pPr>
      <w:r>
        <w:drawing>
          <wp:inline distT="0" distB="0" distL="0" distR="0">
            <wp:extent cx="1371600" cy="304800"/>
            <wp:effectExtent l="0" t="0" r="0" b="0"/>
            <wp:docPr id="1" name="Logo Nuvigant" descr="Nuvig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uvigant-letter-logo.png"/>
                    <pic:cNvPicPr/>
                  </pic:nvPicPr>
                  <pic:blipFill>
                    <a:blip r:embed="rIdLogo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b/>
          <w:color w:val="056DFE"/>
          <w:sz w:val="18"/>
        </w:rPr>
        <w:t xml:space="preserve">Prevención de Lavado de Dinero · Cap. XII, arts. 39 a 39 Bis 1</w:t>
      </w:r>
    </w:p>
    <w:p>
      <w:pPr>
        <w:pStyle w:val="Title"/>
        <w:keepNext/>
      </w:pPr>
      <w:r>
        <w:t xml:space="preserve">Programa Anual de Capacitación PLD/FT</w:t>
      </w:r>
    </w:p>
    <w:p>
      <w:pPr>
        <w:jc w:val="left"/>
      </w:pPr>
      <w:r>
        <w:t xml:space="preserve">Programa escrito de capacitación, evaluación, constancias y evidencia para acreditar el programa anual que exigen el artículo 18 de la LFPIORPI y el Capítulo XII de las Reglas de Carácter General, reformadas por el </w:t>
      </w:r>
      <w:r>
        <w:rPr>
          <w:b/>
        </w:rPr>
        <w:t xml:space="preserve">Acuerdo 115/2026</w:t>
      </w:r>
      <w:r>
        <w:t xml:space="preserve"> (DOF 7 de agosto de 2026).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6361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Sujeto obligado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[Nombre del Notario / Notaría Pública No. __ del Estado de ______]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Ejercicio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[1 de enero al 31 de diciembre de ____]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Instructor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[Nombre · evidencia de ≥ 5 años en PLD/FT]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 de la sesión anual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[DD/MM/AAAA]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Versión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[1.0]</w:t>
            </w:r>
          </w:p>
        </w:tc>
      </w:tr>
    </w:tbl>
    <w:p/>
    <w:p>
      <w:pPr>
        <w:shd w:val="clear" w:color="auto" w:fill="FFFBEB"/>
        <w:pBdr>
          <w:left w:val="single" w:sz="18" w:space="8" w:color="D97706"/>
        </w:pBdr>
        <w:ind w:left="180"/>
        <w:jc w:val="both"/>
      </w:pPr>
      <w:r>
        <w:rPr>
          <w:b/>
          <w:color w:val="78350F"/>
        </w:rPr>
        <w:t xml:space="preserve">Aviso sobre el uso de esta plantilla.</w:t>
      </w:r>
      <w:r>
        <w:rPr>
          <w:color w:val="78350F"/>
        </w:rPr>
        <w:t xml:space="preserve"> Modelo de referencia elaborado por Nuvigant. Es una guía operativa y no constituye asesoría legal ni una certificación oficial. Debe adaptarse a la Actividad Vulnerable, al Manual de Políticas Internas y a la metodología de riesgos de la entidad. Los campos en </w:t>
      </w:r>
      <w:r>
        <w:rPr>
          <w:i/>
          <w:color w:val="7A5200"/>
          <w:highlight w:val="yellow"/>
        </w:rPr>
        <w:t xml:space="preserve">amarillo</w:t>
      </w:r>
      <w:r>
        <w:rPr>
          <w:color w:val="78350F"/>
        </w:rPr>
        <w:t xml:space="preserve"> deben completarse con información propia antes de archivar este documento como evidencia del programa anual.</w:t>
      </w:r>
    </w:p>
    <w:p>
      <w:pPr>
        <w:pStyle w:val="Heading1"/>
        <w:keepNext/>
      </w:pPr>
      <w:r>
        <w:t xml:space="preserve">1. Objetivo y alcance</w:t>
      </w:r>
    </w:p>
    <w:p>
      <w:pPr>
        <w:jc w:val="both"/>
      </w:pPr>
      <w:r>
        <w:t xml:space="preserve">Este programa establece cómo la entidad capacita, evalúa y documenta a quien participa en la identificación de Clientes, el envío de Avisos o la atención al público, de modo que el titular pueda acreditar el programa anual exigido por el artículo 18 de la LFPIORPI y por el Capítulo XII de las Reglas de Carácter General.</w:t>
      </w:r>
    </w:p>
    <w:p>
      <w:pPr>
        <w:jc w:val="both"/>
      </w:pPr>
      <w:r>
        <w:t xml:space="preserve">No sustituye la inducción de cada contratación —esa vive en el Programa de Reclutamiento de Personal—. Este documento cubre el ciclo anual, las sesiones extraordinarias y la evidencia que se pide en una visita de verificación.</w:t>
      </w:r>
    </w:p>
    <w:p>
      <w:pPr>
        <w:pStyle w:val="Heading1"/>
        <w:keepNext/>
      </w:pPr>
      <w:r>
        <w:t xml:space="preserve">2. Marco legal de referencia</w:t>
      </w:r>
    </w:p>
    <w:p>
      <w:pPr>
        <w:numPr>
          <w:ilvl w:val="0"/>
          <w:numId w:val="1"/>
        </w:numPr>
        <w:spacing w:after="60"/>
        <w:jc w:val="both"/>
      </w:pPr>
      <w:r>
        <w:t xml:space="preserve">LFPIORPI, artículo 18: el sujeto obligado debe contar con criterios de selección de personal y con un programa de capacitación.</w:t>
      </w:r>
    </w:p>
    <w:p>
      <w:pPr>
        <w:numPr>
          <w:ilvl w:val="0"/>
          <w:numId w:val="1"/>
        </w:numPr>
        <w:spacing w:after="60"/>
        <w:jc w:val="both"/>
      </w:pPr>
      <w:r>
        <w:t xml:space="preserve">Reglas de Carácter General, Capítulo XII, artículos 39 a 39 Bis 1 (Acuerdo 115/2026): temario, destinatarios, instructor, evaluación obligatoria para expedir constancias y conservación de la evidencia.</w:t>
      </w:r>
    </w:p>
    <w:p>
      <w:pPr>
        <w:numPr>
          <w:ilvl w:val="0"/>
          <w:numId w:val="1"/>
        </w:numPr>
        <w:spacing w:after="60"/>
        <w:jc w:val="both"/>
      </w:pPr>
      <w:r>
        <w:t xml:space="preserve">Artículo 39 Bis 1: personal de atención al público o que administre recursos se capacita antes o al mismo tiempo que ingresa.</w:t>
      </w:r>
    </w:p>
    <w:p>
      <w:pPr>
        <w:numPr>
          <w:ilvl w:val="0"/>
          <w:numId w:val="1"/>
        </w:numPr>
        <w:spacing w:after="60"/>
        <w:jc w:val="both"/>
      </w:pPr>
      <w:r>
        <w:t xml:space="preserve">Artículo 39 Bis 2: declaración firmada de honorabilidad — se documenta en el Programa de Reclutamiento, no aquí.</w:t>
      </w:r>
    </w:p>
    <w:p>
      <w:pPr>
        <w:numPr>
          <w:ilvl w:val="0"/>
          <w:numId w:val="1"/>
        </w:numPr>
        <w:spacing w:after="60"/>
        <w:jc w:val="both"/>
      </w:pPr>
      <w:r>
        <w:t xml:space="preserve">Transitorio Séptimo: primer periodo de capacitación anual del 1 de enero al 31 de diciembre de 2027.</w:t>
      </w:r>
    </w:p>
    <w:p>
      <w:pPr>
        <w:numPr>
          <w:ilvl w:val="0"/>
          <w:numId w:val="1"/>
        </w:numPr>
        <w:spacing w:after="60"/>
        <w:jc w:val="both"/>
      </w:pPr>
      <w:r>
        <w:t xml:space="preserve">Manual de Políticas Internas (art. 37 Bis): el temario debe ser coherente con la metodología de riesgos y con los actos que realmente opera la entidad.</w:t>
      </w:r>
    </w:p>
    <w:p>
      <w:pPr>
        <w:pStyle w:val="Heading1"/>
        <w:keepNext/>
      </w:pPr>
      <w:r>
        <w:t xml:space="preserve">3. Quién debe capacitarse</w:t>
      </w:r>
    </w:p>
    <w:p>
      <w:pPr>
        <w:jc w:val="both"/>
      </w:pPr>
      <w:r>
        <w:t xml:space="preserve">El programa no es solo para el titular. Quien opera el expediente es quien puede generar el hallazgo.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699"/>
        <w:gridCol w:w="4241"/>
        <w:gridCol w:w="2699"/>
      </w:tblGrid>
      <w:tr>
        <w:trPr>
          <w:cantSplit/>
          <w:tblHeader/>
        </w:trPr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Grupo</w:t>
            </w:r>
          </w:p>
        </w:tc>
        <w:tc>
          <w:tcPr>
            <w:tcW w:w="424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Motivo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Cuándo</w:t>
            </w:r>
          </w:p>
        </w:tc>
      </w:tr>
      <w:tr>
        <w:trPr>
          <w:cantSplit/>
        </w:trPr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Titular y, en su caso, adscrito o consejo</w:t>
            </w:r>
          </w:p>
        </w:tc>
        <w:tc>
          <w:tcPr>
            <w:tcW w:w="424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Responde ante la autoridad y firma el Manual; debe conocer el programa que va a acreditar.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Anual · también en cada reforma material</w:t>
            </w:r>
          </w:p>
        </w:tc>
      </w:tr>
      <w:tr>
        <w:trPr>
          <w:cantSplit/>
        </w:trPr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Representante Encargado de Cumplimiento</w:t>
            </w:r>
          </w:p>
        </w:tc>
        <w:tc>
          <w:tcPr>
            <w:tcW w:w="424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Diseña, imparte o supervisa la capacitación, aplica la evaluación y resguarda la evidencia.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Anual · más inducción de cada ingreso</w:t>
            </w:r>
          </w:p>
        </w:tc>
      </w:tr>
      <w:tr>
        <w:trPr>
          <w:cantSplit/>
        </w:trPr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Quien identifica Clientes o envía Avisos</w:t>
            </w:r>
          </w:p>
        </w:tc>
        <w:tc>
          <w:tcPr>
            <w:tcW w:w="424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Abogados, proyectistas y quien captura el expediente: es el punto más expuesto de la operación.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Anual · y antes o al ingresar</w:t>
            </w:r>
          </w:p>
        </w:tc>
      </w:tr>
      <w:tr>
        <w:trPr>
          <w:cantSplit/>
        </w:trPr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Atención al público o administración de recursos</w:t>
            </w:r>
          </w:p>
        </w:tc>
        <w:tc>
          <w:tcPr>
            <w:tcW w:w="424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El art. 39 Bis 1 exige capacitarlos antes o al mismo tiempo que ingresan, previo a cualquier acto del Manual.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Inducción previa o simultánea · luego anual</w:t>
            </w:r>
          </w:p>
        </w:tc>
      </w:tr>
      <w:tr>
        <w:trPr>
          <w:cantSplit/>
        </w:trPr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Personal de apoyo que toca expedientes</w:t>
            </w:r>
          </w:p>
        </w:tc>
        <w:tc>
          <w:tcPr>
            <w:tcW w:w="424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Recepción, archivo y gestoría manejan datos del Cliente; un error de confidencialidad o de lista también se imputa al sujeto obligado.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Anual · inducción al ingresar</w:t>
            </w:r>
          </w:p>
        </w:tc>
      </w:tr>
    </w:tbl>
    <w:p/>
    <w:p>
      <w:pPr>
        <w:pStyle w:val="Heading1"/>
        <w:keepNext/>
      </w:pPr>
      <w:r>
        <w:t xml:space="preserve">4. Modalidades del programa</w:t>
      </w:r>
    </w:p>
    <w:p>
      <w:pPr>
        <w:pStyle w:val="Heading2"/>
        <w:keepNext/>
      </w:pPr>
      <w:r>
        <w:t xml:space="preserve">4.1 Inducción (nuevo ingreso)</w:t>
      </w:r>
    </w:p>
    <w:p>
      <w:pPr>
        <w:jc w:val="both"/>
      </w:pPr>
      <w:r>
        <w:t xml:space="preserve">Antes o al mismo tiempo que la persona asume funciones —nunca después—. Cubre el Manual vigente, cómo reportar una alerta, confidencialidad y las consecuencias del incumplimiento. Condición para tocar un expediente de identificación o un Aviso.</w:t>
      </w:r>
    </w:p>
    <w:p>
      <w:pPr>
        <w:pStyle w:val="Heading2"/>
        <w:keepNext/>
      </w:pPr>
      <w:r>
        <w:t xml:space="preserve">4.2 Capacitación anual</w:t>
      </w:r>
    </w:p>
    <w:p>
      <w:pPr>
        <w:jc w:val="both"/>
      </w:pPr>
      <w:r>
        <w:t xml:space="preserve">Al menos una vez por ejercicio para todo el personal clave. Incluye evaluación obligatoria. El primer periodo corre del 1 de enero al 31 de diciembre de 2027.</w:t>
      </w:r>
    </w:p>
    <w:p>
      <w:pPr>
        <w:pStyle w:val="Heading2"/>
        <w:keepNext/>
      </w:pPr>
      <w:r>
        <w:t xml:space="preserve">4.3 Sesión extraordinaria</w:t>
      </w:r>
    </w:p>
    <w:p>
      <w:pPr>
        <w:jc w:val="both"/>
      </w:pPr>
      <w:r>
        <w:t xml:space="preserve">Cuando cambie la normativa, la metodología de riesgos, el Manual, o cuando una auditoría, una visita o un Aviso mal presentado revele una deficiencia concreta.</w:t>
      </w:r>
    </w:p>
    <w:p>
      <w:pPr>
        <w:pStyle w:val="Heading1"/>
        <w:keepNext/>
      </w:pPr>
      <w:r>
        <w:t xml:space="preserve">5. Temario mínimo</w:t>
      </w:r>
    </w:p>
    <w:p>
      <w:pPr>
        <w:jc w:val="both"/>
      </w:pPr>
      <w:r>
        <w:t xml:space="preserve">El artículo 39 exige un temario coherente con la Ley, el Reglamento, las Reglas, el propio Manual, los actos del artículo 17 y los riesgos de la actividad. Duración sugerida del ciclo anual: </w:t>
      </w:r>
      <w:r>
        <w:rPr>
          <w:b/>
        </w:rPr>
        <w:t xml:space="preserve">7.5 horas</w:t>
      </w:r>
      <w:r>
        <w:t xml:space="preserve">, en una o varias sesiones.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964"/>
        <w:gridCol w:w="5397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Módulo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Horas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Contenidos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1. Conceptos de PLD/FT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Lavado de dinero, financiamiento al terrorismo, etapas clásicas, operación inusual y sospechosa, señales de alerta y por qué la actividad notarial es vulnerable.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2. Marco legal aplicable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LFPIORPI (art. 17, fracc. XII, y art. 18), Reglamento, Reglas de Carácter General (Acuerdo 115/2026), Padrón, SAT, UIF y el papel del sujeto obligado.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3. Actos del artículo 17 y umbrales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Transmisión de inmuebles, sociedades, fideicomisos, poderes y demás supuestos de la fracción XII; diferencia entre identificar y presentar Aviso.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4. Identificación y Beneficiario Controlador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Expediente de persona física y moral, documentos vigentes, representantes y cadena de control hasta la persona física (umbral 25 %).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5. Enfoque basado en riesgo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Metodología de la entidad, clasificación bajo / medio / alto, PEP, perfil transaccional, debida diligencia reforzada y coherencia con los riesgos de la actividad.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6. Avisos, listas y acumulación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Aviso ordinario (día 17), aviso de 24 horas, Informe de “sin operaciones”, listas del art. 38, fraccionamiento y acumulados de 6 meses.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7. El Manual y la operación diaria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Dónde vive el Manual, cómo reportar una alerta al Representante Encargado de Cumplimiento, confidencialidad, prohibición de alertamiento y conservación a 10 años.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8. Sanciones, visitas y evidencia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0.5 h</w:t>
            </w:r>
          </w:p>
        </w:tc>
        <w:tc>
          <w:tcPr>
            <w:tcW w:w="539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Visita de verificación, qué se pide, sanciones de 200 a 2,000 UMA por obligación (Acuerdo 115/2026) y responsabilidades penales individuales.</w:t>
            </w:r>
          </w:p>
        </w:tc>
      </w:tr>
    </w:tbl>
    <w:p/>
    <w:p>
      <w:pPr>
        <w:pStyle w:val="Heading1"/>
        <w:keepNext/>
      </w:pPr>
      <w:r>
        <w:t xml:space="preserve">6. Instructor y requisitos</w:t>
      </w:r>
    </w:p>
    <w:p>
      <w:pPr>
        <w:numPr>
          <w:ilvl w:val="0"/>
          <w:numId w:val="2"/>
        </w:numPr>
        <w:spacing w:after="60"/>
        <w:jc w:val="both"/>
      </w:pPr>
      <w:r>
        <w:t xml:space="preserve">Quien imparte debe acreditar al menos cinco años de experiencia en materia de PLD/FT.</w:t>
      </w:r>
    </w:p>
    <w:p>
      <w:pPr>
        <w:numPr>
          <w:ilvl w:val="0"/>
          <w:numId w:val="2"/>
        </w:numPr>
        <w:spacing w:after="60"/>
        <w:jc w:val="both"/>
      </w:pPr>
      <w:r>
        <w:t xml:space="preserve">Puede ser el Representante Encargado de Cumplimiento, un instructor interno o un tercero, siempre que se archive la evidencia de esa experiencia.</w:t>
      </w:r>
    </w:p>
    <w:p>
      <w:pPr>
        <w:numPr>
          <w:ilvl w:val="0"/>
          <w:numId w:val="2"/>
        </w:numPr>
        <w:spacing w:after="60"/>
        <w:jc w:val="both"/>
      </w:pPr>
      <w:r>
        <w:t xml:space="preserve">Sin evaluación aplicada no se pueden expedir constancias (art. 39).</w:t>
      </w:r>
    </w:p>
    <w:p>
      <w:pPr>
        <w:numPr>
          <w:ilvl w:val="0"/>
          <w:numId w:val="2"/>
        </w:numPr>
        <w:spacing w:after="60"/>
        <w:jc w:val="both"/>
      </w:pPr>
      <w:r>
        <w:t xml:space="preserve">El Manual debe prever qué ocurre con quien no aprueba: este programa fija el refuerzo en la sección 7.</w:t>
      </w:r>
    </w:p>
    <w:p>
      <w:pPr>
        <w:pStyle w:val="Heading1"/>
        <w:keepNext/>
      </w:pPr>
      <w:r>
        <w:t xml:space="preserve">7. Evaluación, no aprobación y refuerzo</w:t>
      </w:r>
    </w:p>
    <w:p>
      <w:pPr>
        <w:jc w:val="both"/>
      </w:pPr>
      <w:r>
        <w:t xml:space="preserve">La evaluación es obligatoria para expedir constancia. Se aplica al cierre de la sesión anual y de cada inducción. El umbral de aprobación de este programa es </w:t>
      </w:r>
      <w:r>
        <w:rPr>
          <w:b/>
        </w:rPr>
        <w:t xml:space="preserve">80 %</w:t>
      </w:r>
      <w:r>
        <w:t xml:space="preserve">.</w:t>
      </w:r>
    </w:p>
    <w:p>
      <w:pPr>
        <w:numPr>
          <w:ilvl w:val="0"/>
          <w:numId w:val="3"/>
        </w:numPr>
        <w:spacing w:after="60"/>
        <w:jc w:val="both"/>
      </w:pPr>
      <w:r>
        <w:t xml:space="preserve">Quien aprueba recibe constancia y queda habilitado para el ejercicio.</w:t>
      </w:r>
    </w:p>
    <w:p>
      <w:pPr>
        <w:numPr>
          <w:ilvl w:val="0"/>
          <w:numId w:val="3"/>
        </w:numPr>
        <w:spacing w:after="60"/>
        <w:jc w:val="both"/>
      </w:pPr>
      <w:r>
        <w:t xml:space="preserve">Quien no aprueba no opera expedientes de identificación ni Avisos hasta cursar un refuerzo de los módulos reprobados y volver a evaluarse.</w:t>
      </w:r>
    </w:p>
    <w:p>
      <w:pPr>
        <w:numPr>
          <w:ilvl w:val="0"/>
          <w:numId w:val="3"/>
        </w:numPr>
        <w:spacing w:after="60"/>
        <w:jc w:val="both"/>
      </w:pPr>
      <w:r>
        <w:t xml:space="preserve">El Representante Encargado de Cumplimiento agenda el refuerzo dentro de los 30 días siguientes y lo anota en la bitácora.</w:t>
      </w:r>
    </w:p>
    <w:p>
      <w:pPr>
        <w:numPr>
          <w:ilvl w:val="0"/>
          <w:numId w:val="3"/>
        </w:numPr>
        <w:spacing w:after="60"/>
        <w:jc w:val="both"/>
      </w:pPr>
      <w:r>
        <w:t xml:space="preserve">Una segunda reprobación se escala al titular: la persona no se asigna a funciones de identificación o Avisos hasta que apruebe.</w:t>
      </w:r>
    </w:p>
    <w:p>
      <w:pPr>
        <w:pStyle w:val="Heading1"/>
        <w:keepNext/>
      </w:pPr>
      <w:r>
        <w:t xml:space="preserve">8. Constancias</w:t>
      </w:r>
    </w:p>
    <w:p>
      <w:pPr>
        <w:jc w:val="both"/>
      </w:pPr>
      <w:r>
        <w:t xml:space="preserve">Cada constancia identifica a la persona, el temario, la fecha, la calificación, el nombre del instructor y la entidad. Se firma por el instructor y por el titular o quien éste designe.</w:t>
      </w:r>
    </w:p>
    <w:p>
      <w:pPr>
        <w:jc w:val="both"/>
      </w:pPr>
      <w:r>
        <w:rPr>
          <w:i/>
          <w:color w:val="64748B"/>
          <w:sz w:val="19"/>
        </w:rPr>
        <w:t xml:space="preserve">La constancia de un webinar o de un certificado de desempeño interno (por ejemplo el cuestionario de Nuvigant) es evidencia útil, pero no sustituye por sí sola el expediente completo del programa: temario, lista, evaluación, instructor y bitácora.</w:t>
      </w:r>
    </w:p>
    <w:p>
      <w:pPr>
        <w:pStyle w:val="Heading1"/>
        <w:keepNext/>
      </w:pPr>
      <w:r>
        <w:t xml:space="preserve">9. Evidencia y bitácoras</w:t>
      </w:r>
    </w:p>
    <w:p>
      <w:pPr>
        <w:jc w:val="both"/>
      </w:pPr>
      <w:r>
        <w:t xml:space="preserve">La evidencia se conserva diez años, en archivo único físico o electrónico, recuperable ante requerimiento.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6939"/>
        <w:gridCol w:w="2699"/>
      </w:tblGrid>
      <w:tr>
        <w:trPr>
          <w:cantSplit/>
          <w:tblHeader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Pieza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Conservación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Programa anual escrito (este documento, adaptado)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Temario y materiales impartidos (presentación, lecturas, casos)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Currículum o constancia de experiencia del instructor (≥ 5 años en PLD)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Lista de asistencia firmada (o registro digital equivalente con fecha)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Evaluación aplicada y calificación de cada persona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Constancia de quienes aprobaron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Plan de refuerzo de quienes no aprobaron (tema, fecha, nueva evaluación)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Bitácora de capacitación (curso, instructor, asistentes, calificaciones)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  <w:tr>
        <w:trPr>
          <w:cantSplit/>
        </w:trPr>
        <w:tc>
          <w:tcPr>
            <w:tcW w:w="693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Bitácora de ingresos (declaración de honorabilidad + capacitación previa)</w:t>
            </w:r>
          </w:p>
        </w:tc>
        <w:tc>
          <w:tcPr>
            <w:tcW w:w="269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10 años</w:t>
            </w:r>
          </w:p>
        </w:tc>
      </w:tr>
    </w:tbl>
    <w:p/>
    <w:p>
      <w:pPr>
        <w:pStyle w:val="Heading1"/>
        <w:keepNext/>
      </w:pPr>
      <w:r>
        <w:t xml:space="preserve">10. Calendario y régimen transitorio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91"/>
        <w:gridCol w:w="6747"/>
      </w:tblGrid>
      <w:tr>
        <w:trPr>
          <w:cantSplit/>
          <w:tblHeader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Acción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1 ene – 31 dic 2027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Primer periodo de capacitación anual (Transitorio Séptimo). Todo el personal clave debe quedar capacitado y evaluado dentro de este año.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Desde el 1 mar 2027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Toda nueva contratación de quien identifique Clientes o envíe Avisos requiere declaración firmada de honorabilidad y capacitación previa o simultánea al ingreso (Transitorio Sexto · arts. 39 Bis 1 y 39 Bis 2).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Cada ejercicio posterior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Repetir el ciclo anual completo antes del 31 de diciembre. Quien ingrese a mitad de año se induce de inmediato y entra al ciclo anual siguiente.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Tras una reforma o hallazgo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Sesión extraordinaria sobre el cambio o la deficiencia (reforma a las Reglas, visita, hallazgo de auditoría, Aviso mal presentado).</w:t>
            </w:r>
          </w:p>
        </w:tc>
      </w:tr>
    </w:tbl>
    <w:p/>
    <w:p>
      <w:pPr>
        <w:pStyle w:val="Heading1"/>
        <w:keepNext/>
      </w:pPr>
      <w:r>
        <w:t xml:space="preserve">11. Roles y responsables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6361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Rol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Responsabilidad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Titular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Aprueba el programa, destina tiempo del equipo y firma las constancias o delega esa firma por escrito al Representante Encargado de Cumplimiento.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Representante Encargado de Cumplimiento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Diseña el temario, elige o es el instructor, aplica la evaluación, expide constancias, resguarda la bitácora y reporta incumplimientos al titular.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Instructor (interno o externo)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Acredita al menos cinco años de experiencia en PLD/FT, imparte el temario y aplica la evaluación obligatoria. Sin evaluación no hay constancia (art. 39).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Cada persona capacitada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Asiste, firma la lista, presenta la evaluación y, si no aprueba, cursa el refuerzo antes de volver a operar expedientes de identificación o Avisos.</w:t>
            </w:r>
          </w:p>
        </w:tc>
      </w:tr>
    </w:tbl>
    <w:p/>
    <w:p>
      <w:pPr>
        <w:pStyle w:val="Heading1"/>
        <w:keepNext/>
      </w:pPr>
      <w:r>
        <w:t xml:space="preserve">12. Evaluación en línea de Nuvigant</w:t>
      </w:r>
    </w:p>
    <w:p>
      <w:pPr>
        <w:jc w:val="both"/>
      </w:pPr>
      <w:r>
        <w:t xml:space="preserve">El cuestionario publicado en </w:t>
      </w:r>
      <w:hyperlink r:id="rIdLink0">
        <w:r>
          <w:rPr>
            <w:color w:val="056DFE"/>
            <w:u w:val="single"/>
          </w:rPr>
          <w:t xml:space="preserve">nuvigant.com/cuestionario-capacitacion-lfpiorpi</w:t>
        </w:r>
      </w:hyperlink>
      <w:r>
        <w:t xml:space="preserve"> aplica 10 preguntas al azar de un banco de 100 alineado con este temario. Cada persona lo contesta en su equipo y descarga un PDF con su resultado.</w:t>
      </w:r>
    </w:p>
    <w:p>
      <w:pPr>
        <w:numPr>
          <w:ilvl w:val="0"/>
          <w:numId w:val="4"/>
        </w:numPr>
        <w:spacing w:after="60"/>
        <w:jc w:val="both"/>
      </w:pPr>
      <w:r>
        <w:t xml:space="preserve">Sirve como la evaluación obligatoria del art. 39 y como evidencia individual con fecha.</w:t>
      </w:r>
    </w:p>
    <w:p>
      <w:pPr>
        <w:numPr>
          <w:ilvl w:val="0"/>
          <w:numId w:val="4"/>
        </w:numPr>
        <w:spacing w:after="60"/>
        <w:jc w:val="both"/>
      </w:pPr>
      <w:r>
        <w:t xml:space="preserve">No sustituye la constancia que expide el instructor con cinco años de experiencia, ni la lista de asistencia, ni este programa escrito.</w:t>
      </w:r>
    </w:p>
    <w:p>
      <w:pPr>
        <w:numPr>
          <w:ilvl w:val="0"/>
          <w:numId w:val="4"/>
        </w:numPr>
        <w:spacing w:after="60"/>
        <w:jc w:val="both"/>
      </w:pPr>
      <w:r>
        <w:t xml:space="preserve">Quien no alcance el 80 % entra al refuerzo de la sección 7.</w:t>
      </w:r>
    </w:p>
    <w:p>
      <w:pPr>
        <w:pStyle w:val="Heading1"/>
        <w:keepNext/>
      </w:pPr>
      <w:r>
        <w:t xml:space="preserve">13. Cronograma de implementación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928"/>
        <w:gridCol w:w="7710"/>
      </w:tblGrid>
      <w:tr>
        <w:trPr>
          <w:cantSplit/>
          <w:tblHeader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</w:t>
            </w:r>
          </w:p>
        </w:tc>
        <w:tc>
          <w:tcPr>
            <w:tcW w:w="771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Acción</w:t>
            </w:r>
          </w:p>
        </w:tc>
      </w:tr>
      <w:tr>
        <w:trPr>
          <w:cantSplit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Mes 1</w:t>
            </w:r>
          </w:p>
        </w:tc>
        <w:tc>
          <w:tcPr>
            <w:tcW w:w="771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El titular aprueba este programa, nombra instructor y fija la fecha de la sesión anual. Se adapta el temario a los riesgos reales de la entidad.</w:t>
            </w:r>
          </w:p>
        </w:tc>
      </w:tr>
      <w:tr>
        <w:trPr>
          <w:cantSplit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Mes 2</w:t>
            </w:r>
          </w:p>
        </w:tc>
        <w:tc>
          <w:tcPr>
            <w:tcW w:w="771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Se convoca al personal, se reparte el Manual vigente y se confirma que el instructor acredite los cinco años de experiencia.</w:t>
            </w:r>
          </w:p>
        </w:tc>
      </w:tr>
      <w:tr>
        <w:trPr>
          <w:cantSplit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Mes 3</w:t>
            </w:r>
          </w:p>
        </w:tc>
        <w:tc>
          <w:tcPr>
            <w:tcW w:w="771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Se imparte la sesión anual, se aplica la evaluación y se emiten constancias. Quien no aprueba entra a refuerzo con nueva fecha.</w:t>
            </w:r>
          </w:p>
        </w:tc>
      </w:tr>
      <w:tr>
        <w:trPr>
          <w:cantSplit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Mes 4</w:t>
            </w:r>
          </w:p>
        </w:tc>
        <w:tc>
          <w:tcPr>
            <w:tcW w:w="771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Se cierra la bitácora del ejercicio, se archiva la evidencia y se agenda la próxima sesión. El mismo expediente se usa en la auditoría interna.</w:t>
            </w:r>
          </w:p>
        </w:tc>
      </w:tr>
    </w:tbl>
    <w:p/>
    <w:p>
      <w:pPr>
        <w:pStyle w:val="Heading1"/>
        <w:keepNext/>
      </w:pPr>
      <w:r>
        <w:t xml:space="preserve">14. Recomendaciones finales</w:t>
      </w:r>
    </w:p>
    <w:p>
      <w:pPr>
        <w:numPr>
          <w:ilvl w:val="0"/>
          <w:numId w:val="5"/>
        </w:numPr>
        <w:spacing w:after="60"/>
        <w:jc w:val="both"/>
      </w:pPr>
      <w:r>
        <w:t xml:space="preserve">No improvisar la sesión anual el mes de una visita: el primer periodo cierra el 31 de diciembre de 2027.</w:t>
      </w:r>
    </w:p>
    <w:p>
      <w:pPr>
        <w:numPr>
          <w:ilvl w:val="0"/>
          <w:numId w:val="5"/>
        </w:numPr>
        <w:spacing w:after="60"/>
        <w:jc w:val="both"/>
      </w:pPr>
      <w:r>
        <w:t xml:space="preserve">Adaptar el módulo 5 a la metodología de riesgos real de la entidad; un temario genérico no acredita coherencia con el Manual.</w:t>
      </w:r>
    </w:p>
    <w:p>
      <w:pPr>
        <w:numPr>
          <w:ilvl w:val="0"/>
          <w:numId w:val="5"/>
        </w:numPr>
        <w:spacing w:after="60"/>
        <w:jc w:val="both"/>
      </w:pPr>
      <w:r>
        <w:t xml:space="preserve">Archivar el currículum del instructor junto con la lista de asistencia: es lo primero que se pide cuando se cuestiona la constancia.</w:t>
      </w:r>
    </w:p>
    <w:p>
      <w:pPr>
        <w:numPr>
          <w:ilvl w:val="0"/>
          <w:numId w:val="5"/>
        </w:numPr>
        <w:spacing w:after="60"/>
        <w:jc w:val="both"/>
      </w:pPr>
      <w:r>
        <w:t xml:space="preserve">Revisar este programa cada vez que se reforme la LFPIORPI, su Reglamento o las Reglas, y después de cada auditoría interna.</w:t>
      </w:r>
    </w:p>
    <w:p>
      <w:pPr>
        <w:numPr>
          <w:ilvl w:val="0"/>
          <w:numId w:val="5"/>
        </w:numPr>
        <w:spacing w:after="60"/>
        <w:jc w:val="both"/>
      </w:pPr>
      <w:r>
        <w:t xml:space="preserve">Validar la versión final con el Representante Encargado de Cumplimiento y, de ser necesario, con asesoría jurídica especializada en PLD/FT.</w:t>
      </w:r>
    </w:p>
    <w:p/>
    <w:p>
      <w:pPr>
        <w:pBdr>
          <w:top w:val="single" w:sz="6" w:space="4" w:color="0F172A"/>
        </w:pBdr>
        <w:spacing w:before="360"/>
      </w:pPr>
      <w:r>
        <w:t xml:space="preserve">Instructor</w:t>
      </w:r>
      <w:r>
        <w:br/>
      </w:r>
      <w:r>
        <w:rPr>
          <w:i/>
          <w:color w:val="7A5200"/>
          <w:highlight w:val="yellow"/>
        </w:rPr>
        <w:t xml:space="preserve">[Nombre y firma]</w:t>
      </w:r>
    </w:p>
    <w:p/>
    <w:p>
      <w:pPr>
        <w:pBdr>
          <w:top w:val="single" w:sz="6" w:space="4" w:color="0F172A"/>
        </w:pBdr>
        <w:spacing w:before="360"/>
      </w:pPr>
      <w:r>
        <w:t xml:space="preserve">Representante Encargado de Cumplimiento</w:t>
      </w:r>
      <w:r>
        <w:br/>
      </w:r>
      <w:r>
        <w:rPr>
          <w:i/>
          <w:color w:val="7A5200"/>
          <w:highlight w:val="yellow"/>
        </w:rPr>
        <w:t xml:space="preserve">[Nombre y firma]</w:t>
      </w:r>
    </w:p>
    <w:p/>
    <w:p>
      <w:pPr>
        <w:pBdr>
          <w:top w:val="single" w:sz="6" w:space="4" w:color="0F172A"/>
        </w:pBdr>
        <w:spacing w:before="360"/>
      </w:pPr>
      <w:r>
        <w:t xml:space="preserve">Titular</w:t>
      </w:r>
      <w:r>
        <w:br/>
      </w:r>
      <w:r>
        <w:rPr>
          <w:i/>
          <w:color w:val="7A5200"/>
          <w:highlight w:val="yellow"/>
        </w:rPr>
        <w:t xml:space="preserve">[Nombre y firma]</w:t>
      </w:r>
    </w:p>
    <w:p/>
    <w:p>
      <w:pPr>
        <w:pBdr>
          <w:bottom w:val="single" w:sz="6" w:space="1" w:color="CBD5E1"/>
        </w:pBdr>
      </w:pPr>
    </w:p>
    <w:p>
      <w:pPr>
        <w:jc w:val="both"/>
      </w:pPr>
      <w:r>
        <w:rPr>
          <w:color w:val="64748B"/>
          <w:sz w:val="18"/>
        </w:rPr>
        <w:t xml:space="preserve">Plantilla elaborada por </w:t>
      </w:r>
      <w:r>
        <w:rPr>
          <w:b/>
          <w:color w:val="64748B"/>
          <w:sz w:val="18"/>
        </w:rPr>
        <w:t xml:space="preserve">Nuvigant</w:t>
      </w:r>
      <w:r>
        <w:rPr>
          <w:color w:val="64748B"/>
          <w:sz w:val="18"/>
        </w:rPr>
        <w:t xml:space="preserve"> con base en el Acuerdo 115/2026 publicado en el Diario Oficial de la Federación el 7 de agosto de 2026 (</w:t>
      </w:r>
      <w:hyperlink r:id="rIdLink1">
        <w:r>
          <w:rPr>
            <w:color w:val="056DFE"/>
            <w:u w:val="single"/>
            <w:sz w:val="18"/>
          </w:rPr>
          <w:t xml:space="preserve">dof.gob.mx</w:t>
        </w:r>
      </w:hyperlink>
      <w:r>
        <w:rPr>
          <w:color w:val="64748B"/>
          <w:sz w:val="18"/>
        </w:rPr>
        <w:t xml:space="preserve">). Documento de uso libre para fines de adaptación interna; no constituye asesoría jurídica ni una certificación oficial. </w:t>
      </w:r>
      <w:hyperlink r:id="rIdLink2">
        <w:r>
          <w:rPr>
            <w:color w:val="056DFE"/>
            <w:u w:val="single"/>
            <w:sz w:val="18"/>
          </w:rPr>
          <w:t xml:space="preserve">nuvigant.com</w:t>
        </w:r>
      </w:hyperlink>
    </w:p>
    <w:sectPr>
      <w:pgSz w:w="11906" w:h="16838"/>
      <w:pgMar w:top="1134" w:right="1134" w:bottom="1134" w:left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ind w:left="454" w:hanging="284"/>
      </w:pPr>
      <w:rPr>
        <w:rFonts w:ascii="Segoe UI Symbol" w:hAnsi="Segoe UI Symbol" w:hint="default"/>
      </w:rPr>
    </w:lvl>
  </w:abstractNum>
  <w:abstractNum w:abstractNumId="1">
    <w:multiLevelType w:val="singleLevel"/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  <w:lang w:val="es-MX"/>
      </w:rPr>
    </w:rPrDefault>
    <w:pPrDefault>
      <w:pPr>
        <w:spacing w:after="140" w:line="288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spacing w:before="0" w:after="140"/>
      <w:outlineLvl w:val="0"/>
      <w:jc w:val="left"/>
    </w:pPr>
    <w:rPr>
      <w:rFonts w:ascii="Segoe UI" w:hAnsi="Segoe UI"/>
      <w:b/>
      <w:color w:val="0F172A"/>
      <w:sz w:val="48"/>
    </w:rPr>
  </w:style>
  <w:style w:type="paragraph" w:styleId="Heading1">
    <w:name w:val="heading 1"/>
    <w:basedOn w:val="Normal"/>
    <w:next w:val="Normal"/>
    <w:qFormat/>
    <w:pPr>
      <w:keepNext/>
      <w:spacing w:before="0" w:after="140"/>
      <w:outlineLvl w:val="0"/>
      <w:pBdr>
        <w:bottom w:val="single" w:sz="12" w:space="4" w:color="056DFE"/>
      </w:pBdr>
      <w:jc w:val="left"/>
    </w:pPr>
    <w:rPr>
      <w:rFonts w:ascii="Segoe UI" w:hAnsi="Segoe UI"/>
      <w:b/>
      <w:color w:val="0B3D91"/>
      <w:sz w:val="30"/>
    </w:rPr>
  </w:style>
  <w:style w:type="paragraph" w:styleId="Heading2">
    <w:name w:val="heading 2"/>
    <w:basedOn w:val="Normal"/>
    <w:next w:val="Normal"/>
    <w:qFormat/>
    <w:pPr>
      <w:keepNext/>
      <w:spacing w:before="320" w:after="140"/>
      <w:outlineLvl w:val="1"/>
      <w:jc w:val="left"/>
    </w:pPr>
    <w:rPr>
      <w:rFonts w:ascii="Segoe UI" w:hAnsi="Segoe UI"/>
      <w:b/>
      <w:color w:val="0F172A"/>
      <w:sz w:val="25"/>
    </w:rPr>
  </w:style>
  <w:style w:type="paragraph" w:styleId="Heading3">
    <w:name w:val="heading 3"/>
    <w:basedOn w:val="Normal"/>
    <w:next w:val="Normal"/>
    <w:qFormat/>
    <w:pPr>
      <w:keepNext/>
      <w:spacing w:before="320" w:after="140"/>
      <w:outlineLvl w:val="2"/>
      <w:jc w:val="left"/>
    </w:pPr>
    <w:rPr>
      <w:rFonts w:ascii="Segoe UI" w:hAnsi="Segoe UI"/>
      <w:b/>
      <w:color w:val="0F172A"/>
      <w:sz w:val="22"/>
    </w:rPr>
  </w:style>
</w:styles>
</file>

<file path=word/_rels/document.xml.rels><?xml version="1.0" encoding="UTF-8" standalone="yes"?>
<Relationships xmlns="http://schemas.openxmlformats.org/package/2006/relationships">
<Relationship Id="rIdStyles" Type="http://schemas.openxmlformats.org/officeDocument/2006/relationships/styles" Target="styles.xml"/>
<Relationship Id="rIdNumbering" Type="http://schemas.openxmlformats.org/officeDocument/2006/relationships/numbering" Target="numbering.xml"/>
<Relationship Id="rIdLogo" Type="http://schemas.openxmlformats.org/officeDocument/2006/relationships/image" Target="media/nuvigant-letter-logo.png"/>
<Relationship Id="rIdLink0" Type="http://schemas.openxmlformats.org/officeDocument/2006/relationships/hyperlink" Target="https://nuvigant.com/cuestionario-capacitacion-lfpiorpi" TargetMode="External"/>
<Relationship Id="rIdLink1" Type="http://schemas.openxmlformats.org/officeDocument/2006/relationships/hyperlink" Target="https://dof.gob.mx/nota_detalle.php?codigo=5795797&amp;amp;fecha=07/08/2026" TargetMode="External"/>
<Relationship Id="rIdLink2" Type="http://schemas.openxmlformats.org/officeDocument/2006/relationships/hyperlink" Target="https://nuvigant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Nuvigant</Application>
  <Company>Nuvigant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Programa Anual de Capacitación PLD/FT — LFPIORPI 2026</dc:title>
  <dc:creator>Nuvigant</dc:creator>
  <cp:lastModifiedBy>Nuvigant</cp:lastModifiedBy>
  <dc:description>Programa anual de capacitación, evaluación, constancias y evidencia de los arts. 39 a 39 Bis 1 de las Reglas de Carácter General de la LFPIORPI (Acuerdo 115/2026, DOF 07/08/2026).</dc:description>
  <cp:revision>1</cp:revision>
</cp:coreProperties>
</file>